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66F" w:rsidRDefault="001A59D6" w:rsidP="00D15F65">
      <w:bookmarkStart w:id="0" w:name="_GoBack"/>
      <w:bookmarkEnd w:id="0"/>
      <w:r>
        <w:rPr>
          <w:rFonts w:cs="Tahoma"/>
          <w:b/>
          <w:noProof/>
          <w:u w:val="single"/>
          <w:lang w:eastAsia="fr-FR"/>
        </w:rPr>
        <mc:AlternateContent>
          <mc:Choice Requires="wps">
            <w:drawing>
              <wp:anchor distT="0" distB="0" distL="114300" distR="114300" simplePos="0" relativeHeight="251656704" behindDoc="0" locked="0" layoutInCell="1" allowOverlap="1">
                <wp:simplePos x="0" y="0"/>
                <wp:positionH relativeFrom="column">
                  <wp:posOffset>-8255</wp:posOffset>
                </wp:positionH>
                <wp:positionV relativeFrom="paragraph">
                  <wp:posOffset>-189865</wp:posOffset>
                </wp:positionV>
                <wp:extent cx="7019925" cy="1984375"/>
                <wp:effectExtent l="12065" t="13970" r="698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1984375"/>
                        </a:xfrm>
                        <a:prstGeom prst="rect">
                          <a:avLst/>
                        </a:prstGeom>
                        <a:solidFill>
                          <a:srgbClr val="FFFFFF"/>
                        </a:solidFill>
                        <a:ln w="9525">
                          <a:solidFill>
                            <a:srgbClr val="000000"/>
                          </a:solidFill>
                          <a:miter lim="800000"/>
                          <a:headEnd/>
                          <a:tailEnd/>
                        </a:ln>
                      </wps:spPr>
                      <wps:txbx>
                        <w:txbxContent>
                          <w:p w:rsidR="008A3CF8" w:rsidRDefault="008A3CF8" w:rsidP="00B67176">
                            <w:pPr>
                              <w:rPr>
                                <w:rFonts w:ascii="Tahoma" w:hAnsi="Tahoma" w:cs="Tahoma"/>
                                <w:sz w:val="20"/>
                                <w:szCs w:val="20"/>
                              </w:rPr>
                            </w:pPr>
                            <w:r w:rsidRPr="00C178A8">
                              <w:rPr>
                                <w:rFonts w:ascii="Tahoma" w:hAnsi="Tahoma" w:cs="Tahoma"/>
                                <w:b/>
                                <w:sz w:val="20"/>
                                <w:szCs w:val="20"/>
                                <w:u w:val="single"/>
                              </w:rPr>
                              <w:t>Objet</w:t>
                            </w:r>
                            <w:r w:rsidR="00C178A8" w:rsidRPr="00C178A8">
                              <w:rPr>
                                <w:rFonts w:ascii="Tahoma" w:hAnsi="Tahoma" w:cs="Tahoma"/>
                                <w:b/>
                                <w:sz w:val="20"/>
                                <w:szCs w:val="20"/>
                                <w:u w:val="single"/>
                              </w:rPr>
                              <w:t xml:space="preserve"> et domaine d’application</w:t>
                            </w:r>
                            <w:r w:rsidRPr="008862F9">
                              <w:rPr>
                                <w:rFonts w:ascii="Tahoma" w:hAnsi="Tahoma" w:cs="Tahoma"/>
                                <w:sz w:val="20"/>
                                <w:szCs w:val="20"/>
                              </w:rPr>
                              <w:t>:</w:t>
                            </w:r>
                            <w:r w:rsidRPr="0050014C">
                              <w:rPr>
                                <w:rFonts w:ascii="Tahoma" w:hAnsi="Tahoma" w:cs="Tahoma"/>
                                <w:sz w:val="20"/>
                                <w:szCs w:val="20"/>
                              </w:rPr>
                              <w:t xml:space="preserve"> </w:t>
                            </w:r>
                            <w:r w:rsidR="00C178A8">
                              <w:rPr>
                                <w:rFonts w:ascii="Tahoma" w:hAnsi="Tahoma" w:cs="Tahoma"/>
                                <w:sz w:val="20"/>
                                <w:szCs w:val="20"/>
                              </w:rPr>
                              <w:t>cette procédure décrit les modalités de gestion des renseignements cliniques ainsi que la revue des ordonnances. Cette gestion consiste à l’obtention de renseignements cliniques pertinents grâce à l’utilisation des feuilles de prescription, mais aussi de l’accès au dossier patient informatisé par les biologistes en cas d’absence de renseignements sur la prescription.</w:t>
                            </w:r>
                          </w:p>
                          <w:p w:rsidR="00C178A8" w:rsidRDefault="00C178A8" w:rsidP="00B67176">
                            <w:pPr>
                              <w:rPr>
                                <w:rFonts w:ascii="Tahoma" w:hAnsi="Tahoma" w:cs="Tahoma"/>
                                <w:sz w:val="20"/>
                                <w:szCs w:val="20"/>
                              </w:rPr>
                            </w:pPr>
                            <w:r>
                              <w:rPr>
                                <w:rFonts w:ascii="Tahoma" w:hAnsi="Tahoma" w:cs="Tahoma"/>
                                <w:sz w:val="20"/>
                                <w:szCs w:val="20"/>
                              </w:rPr>
                              <w:t>L’utilisation de ces renseignements doit permettre l’interprétation des résultats avant la validation biol</w:t>
                            </w:r>
                            <w:r w:rsidR="00FD3C4F">
                              <w:rPr>
                                <w:rFonts w:ascii="Tahoma" w:hAnsi="Tahoma" w:cs="Tahoma"/>
                                <w:sz w:val="20"/>
                                <w:szCs w:val="20"/>
                              </w:rPr>
                              <w:t>o</w:t>
                            </w:r>
                            <w:r>
                              <w:rPr>
                                <w:rFonts w:ascii="Tahoma" w:hAnsi="Tahoma" w:cs="Tahoma"/>
                                <w:sz w:val="20"/>
                                <w:szCs w:val="20"/>
                              </w:rPr>
                              <w:t>gique.</w:t>
                            </w:r>
                          </w:p>
                          <w:p w:rsidR="00C178A8" w:rsidRDefault="00C178A8" w:rsidP="00B67176">
                            <w:pPr>
                              <w:rPr>
                                <w:rFonts w:ascii="Tahoma" w:hAnsi="Tahoma" w:cs="Tahoma"/>
                                <w:sz w:val="20"/>
                                <w:szCs w:val="20"/>
                              </w:rPr>
                            </w:pPr>
                            <w:r>
                              <w:rPr>
                                <w:rFonts w:ascii="Tahoma" w:hAnsi="Tahoma" w:cs="Tahoma"/>
                                <w:sz w:val="20"/>
                                <w:szCs w:val="20"/>
                              </w:rPr>
                              <w:t>La revue des prescriptions permet de vérifier :</w:t>
                            </w:r>
                          </w:p>
                          <w:p w:rsidR="00C178A8" w:rsidRDefault="00C178A8" w:rsidP="00C178A8">
                            <w:pPr>
                              <w:numPr>
                                <w:ilvl w:val="0"/>
                                <w:numId w:val="1"/>
                              </w:numPr>
                              <w:rPr>
                                <w:rFonts w:ascii="Tahoma" w:hAnsi="Tahoma" w:cs="Tahoma"/>
                                <w:sz w:val="20"/>
                                <w:szCs w:val="20"/>
                              </w:rPr>
                            </w:pPr>
                            <w:r>
                              <w:rPr>
                                <w:rFonts w:ascii="Tahoma" w:hAnsi="Tahoma" w:cs="Tahoma"/>
                                <w:sz w:val="20"/>
                                <w:szCs w:val="20"/>
                              </w:rPr>
                              <w:t>La conformité des prescriptions</w:t>
                            </w:r>
                            <w:r w:rsidR="00A46C18">
                              <w:rPr>
                                <w:rFonts w:ascii="Tahoma" w:hAnsi="Tahoma" w:cs="Tahoma"/>
                                <w:sz w:val="20"/>
                                <w:szCs w:val="20"/>
                              </w:rPr>
                              <w:t> ;</w:t>
                            </w:r>
                          </w:p>
                          <w:p w:rsidR="00A46C18" w:rsidRDefault="00A46C18" w:rsidP="00C178A8">
                            <w:pPr>
                              <w:numPr>
                                <w:ilvl w:val="0"/>
                                <w:numId w:val="1"/>
                              </w:numPr>
                              <w:rPr>
                                <w:rFonts w:ascii="Tahoma" w:hAnsi="Tahoma" w:cs="Tahoma"/>
                                <w:sz w:val="20"/>
                                <w:szCs w:val="20"/>
                              </w:rPr>
                            </w:pPr>
                            <w:r>
                              <w:rPr>
                                <w:rFonts w:ascii="Tahoma" w:hAnsi="Tahoma" w:cs="Tahoma"/>
                                <w:sz w:val="20"/>
                                <w:szCs w:val="20"/>
                              </w:rPr>
                              <w:t>La validation de la pertinence des examens prescrits par les médecins prescripteurs.</w:t>
                            </w:r>
                          </w:p>
                          <w:p w:rsidR="008A3CF8" w:rsidRPr="00725B70" w:rsidRDefault="008A3CF8" w:rsidP="00B67176">
                            <w:pPr>
                              <w:rPr>
                                <w:rFonts w:ascii="Tahoma" w:hAnsi="Tahoma" w:cs="Tahoma"/>
                                <w:b/>
                                <w:sz w:val="20"/>
                                <w:szCs w:val="20"/>
                                <w:u w:val="single"/>
                              </w:rPr>
                            </w:pPr>
                          </w:p>
                          <w:p w:rsidR="008A3CF8" w:rsidRPr="00725B70" w:rsidRDefault="00A46C18" w:rsidP="00B67176">
                            <w:pPr>
                              <w:rPr>
                                <w:rFonts w:ascii="Tahoma" w:hAnsi="Tahoma" w:cs="Tahoma"/>
                                <w:b/>
                                <w:sz w:val="20"/>
                                <w:szCs w:val="20"/>
                                <w:u w:val="single"/>
                              </w:rPr>
                            </w:pPr>
                            <w:r>
                              <w:rPr>
                                <w:rFonts w:ascii="Tahoma" w:hAnsi="Tahoma" w:cs="Tahoma"/>
                                <w:b/>
                                <w:sz w:val="20"/>
                                <w:szCs w:val="20"/>
                                <w:u w:val="single"/>
                              </w:rPr>
                              <w:t>Responsabilités</w:t>
                            </w:r>
                            <w:r w:rsidR="008A3CF8" w:rsidRPr="008862F9">
                              <w:rPr>
                                <w:rFonts w:ascii="Tahoma" w:hAnsi="Tahoma" w:cs="Tahoma"/>
                                <w:sz w:val="20"/>
                                <w:szCs w:val="20"/>
                              </w:rPr>
                              <w:t> :</w:t>
                            </w:r>
                            <w:r>
                              <w:rPr>
                                <w:rFonts w:ascii="Tahoma" w:hAnsi="Tahoma" w:cs="Tahoma"/>
                                <w:sz w:val="20"/>
                                <w:szCs w:val="20"/>
                              </w:rPr>
                              <w:t xml:space="preserve"> les secrétaires, les techniciens et les biologistes sont responsables de l’application de cette procédure.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5pt;margin-top:-14.95pt;width:552.75pt;height:1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">
                <v:textbox>
                  <w:txbxContent>
                    <w:p w:rsidR="008A3CF8" w:rsidRDefault="008A3CF8" w:rsidP="00B67176">
                      <w:pPr>
                        <w:rPr>
                          <w:rFonts w:ascii="Tahoma" w:hAnsi="Tahoma" w:cs="Tahoma"/>
                          <w:sz w:val="20"/>
                          <w:szCs w:val="20"/>
                        </w:rPr>
                      </w:pPr>
                      <w:r w:rsidRPr="00C178A8">
                        <w:rPr>
                          <w:rFonts w:ascii="Tahoma" w:hAnsi="Tahoma" w:cs="Tahoma"/>
                          <w:b/>
                          <w:sz w:val="20"/>
                          <w:szCs w:val="20"/>
                          <w:u w:val="single"/>
                        </w:rPr>
                        <w:t>Objet</w:t>
                      </w:r>
                      <w:r w:rsidR="00C178A8" w:rsidRPr="00C178A8">
                        <w:rPr>
                          <w:rFonts w:ascii="Tahoma" w:hAnsi="Tahoma" w:cs="Tahoma"/>
                          <w:b/>
                          <w:sz w:val="20"/>
                          <w:szCs w:val="20"/>
                          <w:u w:val="single"/>
                        </w:rPr>
                        <w:t xml:space="preserve"> et domaine d’application</w:t>
                      </w:r>
                      <w:r w:rsidRPr="008862F9">
                        <w:rPr>
                          <w:rFonts w:ascii="Tahoma" w:hAnsi="Tahoma" w:cs="Tahoma"/>
                          <w:sz w:val="20"/>
                          <w:szCs w:val="20"/>
                        </w:rPr>
                        <w:t>:</w:t>
                      </w:r>
                      <w:r w:rsidRPr="0050014C">
                        <w:rPr>
                          <w:rFonts w:ascii="Tahoma" w:hAnsi="Tahoma" w:cs="Tahoma"/>
                          <w:sz w:val="20"/>
                          <w:szCs w:val="20"/>
                        </w:rPr>
                        <w:t xml:space="preserve"> </w:t>
                      </w:r>
                      <w:r w:rsidR="00C178A8">
                        <w:rPr>
                          <w:rFonts w:ascii="Tahoma" w:hAnsi="Tahoma" w:cs="Tahoma"/>
                          <w:sz w:val="20"/>
                          <w:szCs w:val="20"/>
                        </w:rPr>
                        <w:t>cette procédure décrit les modalités de gestion des renseignements cliniques ainsi que la revue des ordonnances. Cette gestion consiste à l’obtention de renseignements cliniques pertinents grâce à l’utilisation des feuilles de prescription, mais aussi de l’accès au dossier patient informatisé par les biologistes en cas d’absence de renseignements sur la prescription.</w:t>
                      </w:r>
                    </w:p>
                    <w:p w:rsidR="00C178A8" w:rsidRDefault="00C178A8" w:rsidP="00B67176">
                      <w:pPr>
                        <w:rPr>
                          <w:rFonts w:ascii="Tahoma" w:hAnsi="Tahoma" w:cs="Tahoma"/>
                          <w:sz w:val="20"/>
                          <w:szCs w:val="20"/>
                        </w:rPr>
                      </w:pPr>
                      <w:r>
                        <w:rPr>
                          <w:rFonts w:ascii="Tahoma" w:hAnsi="Tahoma" w:cs="Tahoma"/>
                          <w:sz w:val="20"/>
                          <w:szCs w:val="20"/>
                        </w:rPr>
                        <w:t>L’utilisation de ces renseignements doit permettre l’interprétation des résultats avant la validation biol</w:t>
                      </w:r>
                      <w:r w:rsidR="00FD3C4F">
                        <w:rPr>
                          <w:rFonts w:ascii="Tahoma" w:hAnsi="Tahoma" w:cs="Tahoma"/>
                          <w:sz w:val="20"/>
                          <w:szCs w:val="20"/>
                        </w:rPr>
                        <w:t>o</w:t>
                      </w:r>
                      <w:r>
                        <w:rPr>
                          <w:rFonts w:ascii="Tahoma" w:hAnsi="Tahoma" w:cs="Tahoma"/>
                          <w:sz w:val="20"/>
                          <w:szCs w:val="20"/>
                        </w:rPr>
                        <w:t>gique.</w:t>
                      </w:r>
                    </w:p>
                    <w:p w:rsidR="00C178A8" w:rsidRDefault="00C178A8" w:rsidP="00B67176">
                      <w:pPr>
                        <w:rPr>
                          <w:rFonts w:ascii="Tahoma" w:hAnsi="Tahoma" w:cs="Tahoma"/>
                          <w:sz w:val="20"/>
                          <w:szCs w:val="20"/>
                        </w:rPr>
                      </w:pPr>
                      <w:r>
                        <w:rPr>
                          <w:rFonts w:ascii="Tahoma" w:hAnsi="Tahoma" w:cs="Tahoma"/>
                          <w:sz w:val="20"/>
                          <w:szCs w:val="20"/>
                        </w:rPr>
                        <w:t>La revue des prescriptions permet de vérifier :</w:t>
                      </w:r>
                    </w:p>
                    <w:p w:rsidR="00C178A8" w:rsidRDefault="00C178A8" w:rsidP="00C178A8">
                      <w:pPr>
                        <w:numPr>
                          <w:ilvl w:val="0"/>
                          <w:numId w:val="1"/>
                        </w:numPr>
                        <w:rPr>
                          <w:rFonts w:ascii="Tahoma" w:hAnsi="Tahoma" w:cs="Tahoma"/>
                          <w:sz w:val="20"/>
                          <w:szCs w:val="20"/>
                        </w:rPr>
                      </w:pPr>
                      <w:r>
                        <w:rPr>
                          <w:rFonts w:ascii="Tahoma" w:hAnsi="Tahoma" w:cs="Tahoma"/>
                          <w:sz w:val="20"/>
                          <w:szCs w:val="20"/>
                        </w:rPr>
                        <w:t>La conformité des prescriptions</w:t>
                      </w:r>
                      <w:r w:rsidR="00A46C18">
                        <w:rPr>
                          <w:rFonts w:ascii="Tahoma" w:hAnsi="Tahoma" w:cs="Tahoma"/>
                          <w:sz w:val="20"/>
                          <w:szCs w:val="20"/>
                        </w:rPr>
                        <w:t> ;</w:t>
                      </w:r>
                    </w:p>
                    <w:p w:rsidR="00A46C18" w:rsidRDefault="00A46C18" w:rsidP="00C178A8">
                      <w:pPr>
                        <w:numPr>
                          <w:ilvl w:val="0"/>
                          <w:numId w:val="1"/>
                        </w:numPr>
                        <w:rPr>
                          <w:rFonts w:ascii="Tahoma" w:hAnsi="Tahoma" w:cs="Tahoma"/>
                          <w:sz w:val="20"/>
                          <w:szCs w:val="20"/>
                        </w:rPr>
                      </w:pPr>
                      <w:r>
                        <w:rPr>
                          <w:rFonts w:ascii="Tahoma" w:hAnsi="Tahoma" w:cs="Tahoma"/>
                          <w:sz w:val="20"/>
                          <w:szCs w:val="20"/>
                        </w:rPr>
                        <w:t>La validation de la pertinence des examens prescrits par les médecins prescripteurs.</w:t>
                      </w:r>
                    </w:p>
                    <w:p w:rsidR="008A3CF8" w:rsidRPr="00725B70" w:rsidRDefault="008A3CF8" w:rsidP="00B67176">
                      <w:pPr>
                        <w:rPr>
                          <w:rFonts w:ascii="Tahoma" w:hAnsi="Tahoma" w:cs="Tahoma"/>
                          <w:b/>
                          <w:sz w:val="20"/>
                          <w:szCs w:val="20"/>
                          <w:u w:val="single"/>
                        </w:rPr>
                      </w:pPr>
                    </w:p>
                    <w:p w:rsidR="008A3CF8" w:rsidRPr="00725B70" w:rsidRDefault="00A46C18" w:rsidP="00B67176">
                      <w:pPr>
                        <w:rPr>
                          <w:rFonts w:ascii="Tahoma" w:hAnsi="Tahoma" w:cs="Tahoma"/>
                          <w:b/>
                          <w:sz w:val="20"/>
                          <w:szCs w:val="20"/>
                          <w:u w:val="single"/>
                        </w:rPr>
                      </w:pPr>
                      <w:r>
                        <w:rPr>
                          <w:rFonts w:ascii="Tahoma" w:hAnsi="Tahoma" w:cs="Tahoma"/>
                          <w:b/>
                          <w:sz w:val="20"/>
                          <w:szCs w:val="20"/>
                          <w:u w:val="single"/>
                        </w:rPr>
                        <w:t>Responsabilités</w:t>
                      </w:r>
                      <w:r w:rsidR="008A3CF8" w:rsidRPr="008862F9">
                        <w:rPr>
                          <w:rFonts w:ascii="Tahoma" w:hAnsi="Tahoma" w:cs="Tahoma"/>
                          <w:sz w:val="20"/>
                          <w:szCs w:val="20"/>
                        </w:rPr>
                        <w:t> :</w:t>
                      </w:r>
                      <w:r>
                        <w:rPr>
                          <w:rFonts w:ascii="Tahoma" w:hAnsi="Tahoma" w:cs="Tahoma"/>
                          <w:sz w:val="20"/>
                          <w:szCs w:val="20"/>
                        </w:rPr>
                        <w:t xml:space="preserve"> les secrétaires, les techniciens et les biologistes sont responsables de l’application de cette procédure.</w:t>
                      </w:r>
                    </w:p>
                  </w:txbxContent>
                </v:textbox>
              </v:rect>
            </w:pict>
          </mc:Fallback>
        </mc:AlternateContent>
      </w:r>
    </w:p>
    <w:p w:rsidR="002B766F" w:rsidRDefault="002B766F"/>
    <w:p w:rsidR="002B766F" w:rsidRDefault="002B766F"/>
    <w:p w:rsidR="002B766F" w:rsidRDefault="002B766F"/>
    <w:p w:rsidR="002B766F" w:rsidRDefault="002B766F"/>
    <w:p w:rsidR="002B766F" w:rsidRDefault="002B766F"/>
    <w:p w:rsidR="002B766F" w:rsidRDefault="002B766F"/>
    <w:p w:rsidR="00DA5C0F" w:rsidRDefault="00DA5C0F"/>
    <w:p w:rsidR="00DA5C0F" w:rsidRPr="00DA5C0F" w:rsidRDefault="00DA5C0F" w:rsidP="00DA5C0F"/>
    <w:p w:rsidR="00DA5C0F" w:rsidRPr="00DA5C0F" w:rsidRDefault="00DA5C0F" w:rsidP="00DA5C0F"/>
    <w:p w:rsidR="00DA5C0F" w:rsidRPr="00DA5C0F" w:rsidRDefault="00DA5C0F" w:rsidP="00DA5C0F"/>
    <w:p w:rsidR="00A46C18" w:rsidRDefault="00A46C18" w:rsidP="00A46C18">
      <w:pPr>
        <w:numPr>
          <w:ilvl w:val="0"/>
          <w:numId w:val="2"/>
        </w:numPr>
        <w:rPr>
          <w:b/>
          <w:sz w:val="28"/>
          <w:u w:val="single"/>
        </w:rPr>
      </w:pPr>
      <w:r>
        <w:rPr>
          <w:b/>
          <w:sz w:val="28"/>
          <w:u w:val="single"/>
        </w:rPr>
        <w:t>RENSEIGNEMENTS CLINIQUES</w:t>
      </w:r>
    </w:p>
    <w:p w:rsidR="00A46C18" w:rsidRPr="00EE3308" w:rsidRDefault="00A46C18" w:rsidP="00A46C18">
      <w:pPr>
        <w:ind w:left="1080"/>
        <w:rPr>
          <w:b/>
          <w:szCs w:val="24"/>
          <w:u w:val="single"/>
        </w:rPr>
      </w:pPr>
    </w:p>
    <w:p w:rsidR="00A46C18" w:rsidRPr="00590FF2" w:rsidRDefault="00A46C18" w:rsidP="00590FF2">
      <w:pPr>
        <w:pStyle w:val="Titre1"/>
      </w:pPr>
      <w:r w:rsidRPr="00590FF2">
        <w:t>Obtention de renseignements cliniques pertinents :</w:t>
      </w:r>
    </w:p>
    <w:p w:rsidR="00697AEC" w:rsidRPr="00EE3308" w:rsidRDefault="00697AEC" w:rsidP="00697AEC">
      <w:pPr>
        <w:ind w:left="1134"/>
        <w:rPr>
          <w:b/>
          <w:szCs w:val="24"/>
          <w:u w:val="single"/>
        </w:rPr>
      </w:pPr>
    </w:p>
    <w:p w:rsidR="00C05AAE" w:rsidRPr="003108AF" w:rsidRDefault="001A59D6" w:rsidP="00590FF2">
      <w:pPr>
        <w:numPr>
          <w:ilvl w:val="0"/>
          <w:numId w:val="5"/>
        </w:numPr>
        <w:spacing w:after="120"/>
        <w:ind w:firstLine="981"/>
        <w:rPr>
          <w:b/>
        </w:rPr>
      </w:pPr>
      <w:r>
        <w:rPr>
          <w:b/>
          <w:noProof/>
          <w:lang w:eastAsia="fr-FR"/>
        </w:rPr>
        <mc:AlternateContent>
          <mc:Choice Requires="wps">
            <w:drawing>
              <wp:anchor distT="0" distB="0" distL="114300" distR="114300" simplePos="0" relativeHeight="251657728" behindDoc="0" locked="0" layoutInCell="1" allowOverlap="1">
                <wp:simplePos x="0" y="0"/>
                <wp:positionH relativeFrom="column">
                  <wp:posOffset>-185420</wp:posOffset>
                </wp:positionH>
                <wp:positionV relativeFrom="paragraph">
                  <wp:posOffset>234315</wp:posOffset>
                </wp:positionV>
                <wp:extent cx="0" cy="1923415"/>
                <wp:effectExtent l="6350" t="13970" r="12700" b="57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3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621CC" id="_x0000_t32" coordsize="21600,21600" o:spt="32" o:oned="t" path="m,l21600,21600e" filled="f">
                <v:path arrowok="t" fillok="f" o:connecttype="none"/>
                <o:lock v:ext="edit" shapetype="t"/>
              </v:shapetype>
              <v:shape id="AutoShape 8" o:spid="_x0000_s1026" type="#_x0000_t32" style="position:absolute;margin-left:-14.6pt;margin-top:18.45pt;width:0;height:15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"/>
            </w:pict>
          </mc:Fallback>
        </mc:AlternateContent>
      </w:r>
      <w:r w:rsidR="00A46C18" w:rsidRPr="00697AEC">
        <w:rPr>
          <w:b/>
        </w:rPr>
        <w:t>Auprès des patients à l’accueil secrétariat</w:t>
      </w:r>
      <w:r w:rsidR="00EE3308">
        <w:rPr>
          <w:b/>
        </w:rPr>
        <w:t> :</w:t>
      </w:r>
    </w:p>
    <w:p w:rsidR="00C05AAE" w:rsidRPr="00C05AAE" w:rsidRDefault="00C05AAE" w:rsidP="00C05AAE">
      <w:r w:rsidRPr="00C05AAE">
        <w:t xml:space="preserve">Le document </w:t>
      </w:r>
      <w:hyperlink r:id="rId7" w:history="1">
        <w:r w:rsidR="00590FF2" w:rsidRPr="00590FF2">
          <w:rPr>
            <w:rStyle w:val="Lienhypertexte"/>
          </w:rPr>
          <w:t>FOR-PREA-010</w:t>
        </w:r>
      </w:hyperlink>
      <w:r w:rsidR="00951070">
        <w:t xml:space="preserve"> est un formulaire de rec</w:t>
      </w:r>
      <w:r w:rsidRPr="00C05AAE">
        <w:t>u</w:t>
      </w:r>
      <w:r w:rsidR="00951070">
        <w:t>e</w:t>
      </w:r>
      <w:r w:rsidRPr="00C05AAE">
        <w:t>il des renseignements clinique</w:t>
      </w:r>
      <w:r w:rsidR="003108AF">
        <w:t>s</w:t>
      </w:r>
      <w:r w:rsidRPr="00C05AAE">
        <w:t xml:space="preserve"> les plus utiles. Ce formulaire est </w:t>
      </w:r>
      <w:r w:rsidR="00951070">
        <w:t>remis</w:t>
      </w:r>
      <w:r w:rsidRPr="00C05AAE">
        <w:t xml:space="preserve"> au patient externe avant la saisie du dossier par la secrétaire.</w:t>
      </w:r>
    </w:p>
    <w:p w:rsidR="00C05AAE" w:rsidRPr="00C05AAE" w:rsidRDefault="00C05AAE" w:rsidP="00C05AAE">
      <w:r w:rsidRPr="00C05AAE">
        <w:t xml:space="preserve">Le patient rend ce </w:t>
      </w:r>
      <w:r w:rsidR="003108AF">
        <w:t>formulaire complété à la se</w:t>
      </w:r>
      <w:r w:rsidRPr="00C05AAE">
        <w:t>crétaire au moment de la saisie de son dossier. Les renseignement</w:t>
      </w:r>
      <w:r w:rsidR="003108AF">
        <w:t>s</w:t>
      </w:r>
      <w:r>
        <w:t xml:space="preserve"> sont enregistrés à ce moment là</w:t>
      </w:r>
      <w:r w:rsidRPr="00C05AAE">
        <w:t xml:space="preserve"> </w:t>
      </w:r>
      <w:r>
        <w:t>dans les champs obligatoires mentionnés par le système info</w:t>
      </w:r>
      <w:r w:rsidR="003108AF">
        <w:t>rmatique du laboratoire (</w:t>
      </w:r>
      <w:r w:rsidR="00CD3124">
        <w:t>LaboServeur</w:t>
      </w:r>
      <w:r w:rsidR="003108AF">
        <w:t>)</w:t>
      </w:r>
      <w:r w:rsidRPr="00C05AAE">
        <w:t>. Dans certains cas la secrétaire fourni</w:t>
      </w:r>
      <w:r w:rsidR="00951070">
        <w:t>t</w:t>
      </w:r>
      <w:r w:rsidRPr="00C05AAE">
        <w:t xml:space="preserve"> une aide pour remplir le document, ou le rempli</w:t>
      </w:r>
      <w:r w:rsidR="00951070">
        <w:t>t</w:t>
      </w:r>
      <w:r w:rsidRPr="00C05AAE">
        <w:t xml:space="preserve"> elle-même en présence du patient.</w:t>
      </w:r>
    </w:p>
    <w:p w:rsidR="00EE3308" w:rsidRPr="00697AEC" w:rsidRDefault="00EE3308" w:rsidP="00EE3308">
      <w:pPr>
        <w:ind w:left="1701"/>
        <w:rPr>
          <w:b/>
        </w:rPr>
      </w:pPr>
    </w:p>
    <w:p w:rsidR="007430A3" w:rsidRDefault="007430A3" w:rsidP="007430A3">
      <w:pPr>
        <w:numPr>
          <w:ilvl w:val="0"/>
          <w:numId w:val="7"/>
        </w:numPr>
        <w:tabs>
          <w:tab w:val="center" w:pos="307"/>
          <w:tab w:val="right" w:pos="732"/>
        </w:tabs>
        <w:ind w:left="23" w:firstLine="360"/>
      </w:pPr>
      <w:r>
        <w:t xml:space="preserve">Pour les patients des urgences, </w:t>
      </w:r>
      <w:r w:rsidR="003108AF">
        <w:t>les renseignements à fournir figurent sur la feuille de prescription jaune Certain</w:t>
      </w:r>
      <w:r w:rsidR="00CD3124">
        <w:t>s</w:t>
      </w:r>
      <w:r w:rsidR="003108AF">
        <w:t xml:space="preserve"> sont obligatoires</w:t>
      </w:r>
      <w:r w:rsidR="00014F5D">
        <w:t xml:space="preserve">, </w:t>
      </w:r>
      <w:r w:rsidR="003108AF">
        <w:t>ce qui est mentionné, d’autr</w:t>
      </w:r>
      <w:r>
        <w:t>e</w:t>
      </w:r>
      <w:r w:rsidR="00014F5D">
        <w:t>s sont souhait</w:t>
      </w:r>
      <w:r w:rsidR="003108AF">
        <w:t>able</w:t>
      </w:r>
      <w:r w:rsidR="00014F5D">
        <w:t>s</w:t>
      </w:r>
      <w:r w:rsidR="003108AF">
        <w:t>. En outre</w:t>
      </w:r>
      <w:r w:rsidR="00951070">
        <w:t>, le</w:t>
      </w:r>
      <w:r>
        <w:t xml:space="preserve"> nom du mé</w:t>
      </w:r>
      <w:r w:rsidR="00D11380">
        <w:t>decin traitant est à renseigner, ainsi que le transfert éventuel du patient</w:t>
      </w:r>
      <w:r w:rsidR="00346763">
        <w:t xml:space="preserve"> dans</w:t>
      </w:r>
      <w:r w:rsidR="00D11380">
        <w:t xml:space="preserve"> un autre CH (service + n° de tel à joindre), en particulier pour le service UPATOU.</w:t>
      </w:r>
    </w:p>
    <w:p w:rsidR="00697AEC" w:rsidRDefault="00697AEC" w:rsidP="00697AEC">
      <w:pPr>
        <w:jc w:val="both"/>
      </w:pPr>
    </w:p>
    <w:p w:rsidR="00A46C18" w:rsidRDefault="00A46C18" w:rsidP="00590FF2">
      <w:pPr>
        <w:numPr>
          <w:ilvl w:val="0"/>
          <w:numId w:val="5"/>
        </w:numPr>
        <w:spacing w:after="120"/>
        <w:ind w:firstLine="981"/>
        <w:rPr>
          <w:b/>
        </w:rPr>
      </w:pPr>
      <w:r w:rsidRPr="00697AEC">
        <w:rPr>
          <w:b/>
        </w:rPr>
        <w:t xml:space="preserve">Auprès des patients </w:t>
      </w:r>
      <w:r w:rsidR="008364B7">
        <w:rPr>
          <w:b/>
        </w:rPr>
        <w:t>hospitalisés</w:t>
      </w:r>
      <w:r w:rsidR="00EE3308">
        <w:rPr>
          <w:b/>
        </w:rPr>
        <w:t> :</w:t>
      </w:r>
    </w:p>
    <w:p w:rsidR="00014F5D" w:rsidRDefault="001A59D6" w:rsidP="00132142">
      <w:pPr>
        <w:jc w:val="both"/>
      </w:pPr>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-184785</wp:posOffset>
                </wp:positionH>
                <wp:positionV relativeFrom="paragraph">
                  <wp:posOffset>20320</wp:posOffset>
                </wp:positionV>
                <wp:extent cx="0" cy="2369185"/>
                <wp:effectExtent l="6985" t="12065" r="1206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9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93EBD" id="AutoShape 9" o:spid="_x0000_s1026" type="#_x0000_t32" style="position:absolute;margin-left:-14.55pt;margin-top:1.6pt;width:0;height:18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"/>
            </w:pict>
          </mc:Fallback>
        </mc:AlternateContent>
      </w:r>
      <w:r w:rsidR="00132142">
        <w:t xml:space="preserve">Les renseignements cliniques pertinents </w:t>
      </w:r>
      <w:r w:rsidR="00014F5D">
        <w:t xml:space="preserve">figurent </w:t>
      </w:r>
      <w:r w:rsidR="00132142">
        <w:t>sur les feuilles d</w:t>
      </w:r>
      <w:r w:rsidR="00951070">
        <w:t>e prescription</w:t>
      </w:r>
      <w:r w:rsidR="00014F5D">
        <w:t>.</w:t>
      </w:r>
      <w:r w:rsidR="00951070">
        <w:t xml:space="preserve"> </w:t>
      </w:r>
      <w:r w:rsidR="00014F5D">
        <w:t>Certains de ces renseignements sont obligatoire</w:t>
      </w:r>
      <w:r w:rsidR="00951070">
        <w:t>s</w:t>
      </w:r>
      <w:r w:rsidR="00014F5D">
        <w:t xml:space="preserve"> (ceci est mentionné</w:t>
      </w:r>
      <w:r w:rsidR="00951070">
        <w:t>), les autres sont souhaitables.</w:t>
      </w:r>
    </w:p>
    <w:p w:rsidR="00417766" w:rsidRDefault="00417766" w:rsidP="00132142">
      <w:pPr>
        <w:jc w:val="both"/>
      </w:pPr>
      <w:r>
        <w:t>Ex : suivi hémopathie, indication myélogramme, notion Rhophylac, posologie médicament, date dernières règles, transfusion programmée,…</w:t>
      </w:r>
    </w:p>
    <w:p w:rsidR="008364B7" w:rsidRDefault="006F31C1" w:rsidP="00132142">
      <w:pPr>
        <w:jc w:val="both"/>
      </w:pPr>
      <w:r>
        <w:t>Les feuilles roses d’examens microbiologiques sont relues par le biologiste du secteur concerné pour revue de prescription.</w:t>
      </w:r>
    </w:p>
    <w:p w:rsidR="00473334" w:rsidRDefault="00473334" w:rsidP="00132142">
      <w:pPr>
        <w:jc w:val="both"/>
      </w:pPr>
      <w:r>
        <w:t xml:space="preserve">Lors de l’enregistrement des demandes, si les renseignements cliniques obligatoires ne sont pas </w:t>
      </w:r>
      <w:r w:rsidR="00DB52CB">
        <w:t>fournis,</w:t>
      </w:r>
      <w:r>
        <w:t xml:space="preserve"> </w:t>
      </w:r>
      <w:r w:rsidR="00DB52CB">
        <w:t>ils sont</w:t>
      </w:r>
      <w:r>
        <w:t xml:space="preserve"> demandés </w:t>
      </w:r>
      <w:r w:rsidR="00CD3124">
        <w:t>dans les</w:t>
      </w:r>
      <w:r>
        <w:t xml:space="preserve"> services</w:t>
      </w:r>
      <w:r w:rsidR="00951070">
        <w:t xml:space="preserve"> par les agents présents au tri</w:t>
      </w:r>
      <w:r>
        <w:t xml:space="preserve"> avant la saisie du dossier. Un</w:t>
      </w:r>
      <w:r w:rsidR="00CD3124">
        <w:t>e</w:t>
      </w:r>
      <w:r>
        <w:t xml:space="preserve"> non conformité avec rendu de résultats est saisie (NC2).</w:t>
      </w:r>
    </w:p>
    <w:p w:rsidR="00132142" w:rsidRDefault="00132142" w:rsidP="008364B7"/>
    <w:p w:rsidR="00336B04" w:rsidRPr="008364B7" w:rsidRDefault="00336B04" w:rsidP="008364B7"/>
    <w:p w:rsidR="00A46C18" w:rsidRDefault="00A46C18" w:rsidP="00A46C18">
      <w:pPr>
        <w:numPr>
          <w:ilvl w:val="0"/>
          <w:numId w:val="3"/>
        </w:numPr>
        <w:ind w:left="0" w:firstLine="1134"/>
        <w:rPr>
          <w:b/>
          <w:sz w:val="28"/>
          <w:u w:val="single"/>
        </w:rPr>
      </w:pPr>
      <w:r>
        <w:rPr>
          <w:b/>
          <w:sz w:val="28"/>
          <w:u w:val="single"/>
        </w:rPr>
        <w:t>Recherche active des renseignements cliniques :</w:t>
      </w:r>
    </w:p>
    <w:p w:rsidR="00EE3308" w:rsidRPr="00EE3308" w:rsidRDefault="00EE3308" w:rsidP="00EE3308">
      <w:pPr>
        <w:ind w:left="1134"/>
        <w:rPr>
          <w:b/>
          <w:szCs w:val="24"/>
          <w:u w:val="single"/>
        </w:rPr>
      </w:pPr>
    </w:p>
    <w:p w:rsidR="00697AEC" w:rsidRDefault="00132142" w:rsidP="00A42348">
      <w:pPr>
        <w:jc w:val="both"/>
      </w:pPr>
      <w:r>
        <w:lastRenderedPageBreak/>
        <w:t>Dans le cas d’absence de renseignements cliniques pertinents, les biologistes peuvent être amenés à rechercher des renseignements cliniques sur le dossier informatisé du patient auquel ils ont accès.</w:t>
      </w:r>
    </w:p>
    <w:p w:rsidR="00420164" w:rsidRDefault="007430A3" w:rsidP="00A42348">
      <w:pPr>
        <w:jc w:val="both"/>
      </w:pPr>
      <w:r>
        <w:t>Il s’agit notamment de rechercher :</w:t>
      </w:r>
    </w:p>
    <w:p w:rsidR="007430A3" w:rsidRDefault="007430A3" w:rsidP="00A42348">
      <w:pPr>
        <w:numPr>
          <w:ilvl w:val="0"/>
          <w:numId w:val="6"/>
        </w:numPr>
        <w:jc w:val="both"/>
      </w:pPr>
      <w:r>
        <w:t>Les pathologies hématologiques en cas de frottis anormaux ;</w:t>
      </w:r>
    </w:p>
    <w:p w:rsidR="007430A3" w:rsidRDefault="007430A3" w:rsidP="00A42348">
      <w:pPr>
        <w:numPr>
          <w:ilvl w:val="0"/>
          <w:numId w:val="6"/>
        </w:numPr>
        <w:jc w:val="both"/>
      </w:pPr>
      <w:r>
        <w:t>Les pathologies hépatiques ;</w:t>
      </w:r>
    </w:p>
    <w:p w:rsidR="007430A3" w:rsidRDefault="007430A3" w:rsidP="00A42348">
      <w:pPr>
        <w:numPr>
          <w:ilvl w:val="0"/>
          <w:numId w:val="6"/>
        </w:numPr>
        <w:jc w:val="both"/>
      </w:pPr>
      <w:r>
        <w:t>Les suspicions de CIVD.</w:t>
      </w:r>
    </w:p>
    <w:p w:rsidR="007430A3" w:rsidRDefault="00A15992" w:rsidP="00A42348">
      <w:pPr>
        <w:jc w:val="both"/>
      </w:pPr>
      <w:r>
        <w:t>La recherche de ces renseignements cliniques est tracée par une analyse HM dans le dossier du patient.</w:t>
      </w:r>
    </w:p>
    <w:p w:rsidR="00A15992" w:rsidRPr="00697AEC" w:rsidRDefault="00A15992" w:rsidP="00A42348">
      <w:pPr>
        <w:jc w:val="both"/>
      </w:pPr>
    </w:p>
    <w:p w:rsidR="00A46C18" w:rsidRDefault="00A46C18" w:rsidP="00A46C18">
      <w:pPr>
        <w:numPr>
          <w:ilvl w:val="0"/>
          <w:numId w:val="3"/>
        </w:numPr>
        <w:ind w:left="0" w:firstLine="1134"/>
        <w:rPr>
          <w:b/>
          <w:sz w:val="28"/>
          <w:u w:val="single"/>
        </w:rPr>
      </w:pPr>
      <w:r>
        <w:rPr>
          <w:b/>
          <w:sz w:val="28"/>
          <w:u w:val="single"/>
        </w:rPr>
        <w:t>Mise en place d’indicateur de performance :</w:t>
      </w:r>
    </w:p>
    <w:p w:rsidR="00EE3308" w:rsidRDefault="00EE3308" w:rsidP="00697AEC">
      <w:pPr>
        <w:pStyle w:val="Paragraphedeliste"/>
        <w:ind w:left="0"/>
      </w:pPr>
    </w:p>
    <w:p w:rsidR="00420164" w:rsidRDefault="00A15992" w:rsidP="00697AEC">
      <w:pPr>
        <w:pStyle w:val="Paragraphedeliste"/>
        <w:ind w:left="0"/>
      </w:pPr>
      <w:r>
        <w:t>Le nombre d’analyses HM est suivi de façon mensuelle.</w:t>
      </w:r>
    </w:p>
    <w:p w:rsidR="00420164" w:rsidRPr="00697AEC" w:rsidRDefault="00420164" w:rsidP="00697AEC">
      <w:pPr>
        <w:pStyle w:val="Paragraphedeliste"/>
        <w:ind w:left="0"/>
      </w:pPr>
    </w:p>
    <w:p w:rsidR="00A46C18" w:rsidRDefault="00A46C18" w:rsidP="00A46C18">
      <w:pPr>
        <w:numPr>
          <w:ilvl w:val="0"/>
          <w:numId w:val="3"/>
        </w:numPr>
        <w:ind w:left="0" w:firstLine="1134"/>
        <w:rPr>
          <w:b/>
          <w:sz w:val="28"/>
          <w:u w:val="single"/>
        </w:rPr>
      </w:pPr>
      <w:r>
        <w:rPr>
          <w:b/>
          <w:sz w:val="28"/>
          <w:u w:val="single"/>
        </w:rPr>
        <w:t>Utilisation des renseignements cliniques :</w:t>
      </w:r>
    </w:p>
    <w:p w:rsidR="00EE3308" w:rsidRDefault="00EE3308" w:rsidP="00A42348">
      <w:pPr>
        <w:jc w:val="both"/>
      </w:pPr>
    </w:p>
    <w:p w:rsidR="00A15992" w:rsidRDefault="00420164" w:rsidP="00014F5D">
      <w:pPr>
        <w:jc w:val="both"/>
      </w:pPr>
      <w:r>
        <w:t>L’utilisation des renseignements cliniques sera effectuée par le biologiste avant la validation biologique. Celle-ci permet d’interpréter les résul</w:t>
      </w:r>
      <w:r w:rsidR="00FD3C4F">
        <w:t>t</w:t>
      </w:r>
      <w:r>
        <w:t xml:space="preserve">ats des examens. </w:t>
      </w:r>
      <w:r w:rsidR="00014F5D">
        <w:t>Les pathologies connues sont tracée</w:t>
      </w:r>
      <w:r w:rsidR="00CD3124">
        <w:t>s</w:t>
      </w:r>
      <w:r w:rsidR="00014F5D">
        <w:t xml:space="preserve"> dans la fiche patient à l’onglet « pathologie ».</w:t>
      </w:r>
    </w:p>
    <w:p w:rsidR="00EE3308" w:rsidRDefault="00EE3308" w:rsidP="00697AEC"/>
    <w:p w:rsidR="0055311D" w:rsidRPr="00697AEC" w:rsidRDefault="0055311D" w:rsidP="00697AEC"/>
    <w:p w:rsidR="00A46C18" w:rsidRDefault="00A46C18" w:rsidP="00A46C18">
      <w:pPr>
        <w:numPr>
          <w:ilvl w:val="0"/>
          <w:numId w:val="2"/>
        </w:numPr>
        <w:rPr>
          <w:b/>
          <w:sz w:val="28"/>
          <w:u w:val="single"/>
        </w:rPr>
      </w:pPr>
      <w:r>
        <w:rPr>
          <w:b/>
          <w:sz w:val="28"/>
          <w:u w:val="single"/>
        </w:rPr>
        <w:t>REVUE DES PRESCRIPTIONS</w:t>
      </w:r>
    </w:p>
    <w:p w:rsidR="0095441A" w:rsidRPr="00EE3308" w:rsidRDefault="0095441A" w:rsidP="0095441A">
      <w:pPr>
        <w:ind w:left="1080"/>
        <w:rPr>
          <w:b/>
          <w:szCs w:val="24"/>
          <w:u w:val="single"/>
        </w:rPr>
      </w:pPr>
    </w:p>
    <w:p w:rsidR="00A46C18" w:rsidRPr="00590FF2" w:rsidRDefault="00A46C18" w:rsidP="00590FF2">
      <w:pPr>
        <w:pStyle w:val="Titre2"/>
      </w:pPr>
      <w:r w:rsidRPr="00590FF2">
        <w:t>Revue des prescriptions</w:t>
      </w:r>
      <w:r w:rsidR="00A15992" w:rsidRPr="00590FF2">
        <w:t xml:space="preserve"> </w:t>
      </w:r>
      <w:r w:rsidRPr="00590FF2">
        <w:t>:</w:t>
      </w:r>
    </w:p>
    <w:p w:rsidR="00EE3308" w:rsidRDefault="00EE3308" w:rsidP="00A42348">
      <w:pPr>
        <w:jc w:val="both"/>
      </w:pPr>
    </w:p>
    <w:p w:rsidR="00A15992" w:rsidRDefault="00D85B6F" w:rsidP="00A42348">
      <w:pPr>
        <w:jc w:val="both"/>
      </w:pPr>
      <w:r w:rsidRPr="00D85B6F">
        <w:t>La revue des</w:t>
      </w:r>
      <w:r>
        <w:t xml:space="preserve"> prescriptions</w:t>
      </w:r>
      <w:r w:rsidR="00AB2FB7">
        <w:t xml:space="preserve"> sur l’aspect de la pertinence des prescriptions est réalisée par les biologistes lors de la révision des feuilles de demandes.</w:t>
      </w:r>
    </w:p>
    <w:p w:rsidR="00AB2FB7" w:rsidRDefault="00AB2FB7" w:rsidP="00A42348">
      <w:pPr>
        <w:jc w:val="both"/>
      </w:pPr>
      <w:r>
        <w:t xml:space="preserve">Les biologistes </w:t>
      </w:r>
      <w:r w:rsidR="009D4797">
        <w:t xml:space="preserve">contactent régulièrement </w:t>
      </w:r>
      <w:r>
        <w:t>les prescripteurs afin de répondre à leur besoin en matière de demandes d’analyses.</w:t>
      </w:r>
    </w:p>
    <w:p w:rsidR="00AB2FB7" w:rsidRDefault="00AB2FB7" w:rsidP="00A42348">
      <w:pPr>
        <w:jc w:val="both"/>
      </w:pPr>
      <w:r>
        <w:t>Les fiches de prescription sont alors mises à jour avant d’être déployées sur l’ensemble des services de soins.</w:t>
      </w:r>
    </w:p>
    <w:p w:rsidR="00AB2FB7" w:rsidRDefault="00AB2FB7" w:rsidP="00A42348">
      <w:pPr>
        <w:jc w:val="both"/>
      </w:pPr>
    </w:p>
    <w:p w:rsidR="00AB2FB7" w:rsidRDefault="00AB2FB7" w:rsidP="00A42348">
      <w:pPr>
        <w:jc w:val="both"/>
      </w:pPr>
      <w:r>
        <w:t>Les biologistes appliquent les règles et les dispositions concernant leur rôle en matière de conseil auprès du médecin prescripteur. Les biologistes peuvent prendre contact avec le médecin prescripteur et modifier si nécessaire la prescr</w:t>
      </w:r>
      <w:r w:rsidR="00FD3C4F">
        <w:t>iption en fonction du conseil (</w:t>
      </w:r>
      <w:r>
        <w:t>ajout d’analyses, suppression d’analyses, annulation…)</w:t>
      </w:r>
    </w:p>
    <w:p w:rsidR="00AB2FB7" w:rsidRPr="00D85B6F" w:rsidRDefault="00AB2FB7" w:rsidP="00A42348">
      <w:pPr>
        <w:jc w:val="both"/>
      </w:pPr>
      <w:r w:rsidRPr="00951070">
        <w:rPr>
          <w:i/>
        </w:rPr>
        <w:t>Cf</w:t>
      </w:r>
      <w:r>
        <w:t xml:space="preserve">. la procédure </w:t>
      </w:r>
      <w:r w:rsidRPr="00AB2FB7">
        <w:rPr>
          <w:b/>
          <w:i/>
        </w:rPr>
        <w:t>Formalisation des conseils biologiques</w:t>
      </w:r>
      <w:r>
        <w:t xml:space="preserve"> </w:t>
      </w:r>
      <w:hyperlink r:id="rId8" w:history="1">
        <w:r w:rsidRPr="00EE3308">
          <w:rPr>
            <w:rStyle w:val="Lienhypertexte"/>
            <w:b/>
          </w:rPr>
          <w:t>PRO-AMC-005</w:t>
        </w:r>
      </w:hyperlink>
      <w:r>
        <w:t>.</w:t>
      </w:r>
    </w:p>
    <w:p w:rsidR="00697AEC" w:rsidRDefault="00697AEC" w:rsidP="00A42348">
      <w:pPr>
        <w:jc w:val="both"/>
      </w:pPr>
    </w:p>
    <w:p w:rsidR="00A46C18" w:rsidRDefault="00A46C18" w:rsidP="00697AEC">
      <w:pPr>
        <w:numPr>
          <w:ilvl w:val="0"/>
          <w:numId w:val="4"/>
        </w:numPr>
        <w:ind w:firstLine="414"/>
        <w:rPr>
          <w:b/>
          <w:sz w:val="28"/>
          <w:u w:val="single"/>
        </w:rPr>
      </w:pPr>
      <w:r>
        <w:rPr>
          <w:b/>
          <w:sz w:val="28"/>
          <w:u w:val="single"/>
        </w:rPr>
        <w:t>Suivi de la revue des prescriptions :</w:t>
      </w:r>
    </w:p>
    <w:p w:rsidR="00EE3308" w:rsidRDefault="00EE3308" w:rsidP="00FD3C4F"/>
    <w:p w:rsidR="002B766F" w:rsidRPr="00DA5C0F" w:rsidRDefault="00A42348" w:rsidP="00FD3C4F">
      <w:r>
        <w:t>La revue des prescriptions est réalisée dans le cadre de la Revue de Direction. Ce suivi est assuré lors de l’analyse du processus pré-analytique. Les résultats consignés sont analysés et exploités. En fonction des résultats</w:t>
      </w:r>
      <w:r w:rsidR="00951070">
        <w:t>,</w:t>
      </w:r>
      <w:r>
        <w:t xml:space="preserve"> des prestations de conseil sont entreprises.</w:t>
      </w:r>
    </w:p>
    <w:sectPr w:rsidR="002B766F" w:rsidRPr="00DA5C0F" w:rsidSect="008602CE">
      <w:headerReference w:type="even" r:id="rId9"/>
      <w:headerReference w:type="default" r:id="rId10"/>
      <w:footerReference w:type="even" r:id="rId11"/>
      <w:footerReference w:type="default" r:id="rId12"/>
      <w:headerReference w:type="first" r:id="rId13"/>
      <w:footerReference w:type="first" r:id="rId14"/>
      <w:pgSz w:w="11906" w:h="16838"/>
      <w:pgMar w:top="567" w:right="482" w:bottom="567" w:left="482" w:header="284" w:footer="1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9D6" w:rsidRDefault="001A59D6" w:rsidP="0044250A">
      <w:r>
        <w:separator/>
      </w:r>
    </w:p>
  </w:endnote>
  <w:endnote w:type="continuationSeparator" w:id="0">
    <w:p w:rsidR="001A59D6" w:rsidRDefault="001A59D6" w:rsidP="0044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EA3" w:rsidRDefault="00AF7E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0"/>
      <w:gridCol w:w="2750"/>
      <w:gridCol w:w="2750"/>
      <w:gridCol w:w="2750"/>
    </w:tblGrid>
    <w:tr w:rsidR="008A3CF8" w:rsidRPr="002B766F" w:rsidTr="00131180">
      <w:tc>
        <w:tcPr>
          <w:tcW w:w="2750" w:type="dxa"/>
        </w:tcPr>
        <w:p w:rsidR="008A3CF8" w:rsidRDefault="008A3CF8" w:rsidP="00DA43FA">
          <w:pPr>
            <w:rPr>
              <w:rFonts w:cs="Tahoma"/>
              <w:u w:val="single"/>
            </w:rPr>
          </w:pPr>
          <w:r w:rsidRPr="002B766F">
            <w:rPr>
              <w:rFonts w:cs="Tahoma"/>
              <w:u w:val="single"/>
            </w:rPr>
            <w:t>Rédaction :</w:t>
          </w:r>
          <w:r>
            <w:rPr>
              <w:rFonts w:cs="Tahoma"/>
              <w:u w:val="single"/>
            </w:rPr>
            <w:t xml:space="preserve"> </w:t>
          </w:r>
        </w:p>
        <w:p w:rsidR="008A3CF8" w:rsidRPr="006764F3" w:rsidRDefault="005D0E4F" w:rsidP="00DA43FA">
          <w:pPr>
            <w:rPr>
              <w:rFonts w:cs="Tahoma"/>
            </w:rPr>
          </w:pPr>
          <w:r>
            <w:rPr>
              <w:rFonts w:cs="Tahoma"/>
            </w:rPr>
            <w:fldChar w:fldCharType="begin" w:fldLock="1"/>
          </w:r>
          <w:r>
            <w:rPr>
              <w:rFonts w:cs="Tahoma"/>
            </w:rPr>
            <w:instrText xml:space="preserve"> MERGEFIELD  REDACTION_NomPrenom </w:instrText>
          </w:r>
          <w:r>
            <w:rPr>
              <w:rFonts w:cs="Tahoma"/>
            </w:rPr>
            <w:fldChar w:fldCharType="separate"/>
          </w:r>
          <w:r w:rsidR="00250BE7">
            <w:rPr>
              <w:rFonts w:cs="Tahoma"/>
              <w:noProof/>
            </w:rPr>
            <w:t>QUEUCHE FREDERIC</w:t>
          </w:r>
          <w:r>
            <w:rPr>
              <w:rFonts w:cs="Tahoma"/>
            </w:rPr>
            <w:fldChar w:fldCharType="end"/>
          </w:r>
          <w:r w:rsidR="00FC723A">
            <w:rPr>
              <w:rFonts w:cs="Tahoma"/>
            </w:rPr>
            <w:t xml:space="preserve"> </w:t>
          </w:r>
        </w:p>
        <w:p w:rsidR="008A3CF8" w:rsidRPr="002B766F" w:rsidRDefault="008A3CF8" w:rsidP="00D40C0F">
          <w:pPr>
            <w:rPr>
              <w:rFonts w:cs="Tahoma"/>
            </w:rPr>
          </w:pPr>
          <w:r w:rsidRPr="002B766F">
            <w:rPr>
              <w:rFonts w:cs="Tahoma"/>
            </w:rPr>
            <w:t>Date :</w:t>
          </w:r>
          <w:r>
            <w:rPr>
              <w:rFonts w:cs="Tahoma"/>
            </w:rPr>
            <w:t xml:space="preserve"> </w:t>
          </w:r>
          <w:r>
            <w:rPr>
              <w:rFonts w:cs="Tahoma"/>
            </w:rPr>
            <w:fldChar w:fldCharType="begin" w:fldLock="1"/>
          </w:r>
          <w:r w:rsidR="00EF0755">
            <w:rPr>
              <w:rFonts w:cs="Tahoma"/>
            </w:rPr>
            <w:instrText xml:space="preserve"> MERGEFIELD REDACTION_DateVal </w:instrText>
          </w:r>
          <w:r>
            <w:rPr>
              <w:rFonts w:cs="Tahoma"/>
            </w:rPr>
            <w:fldChar w:fldCharType="separate"/>
          </w:r>
          <w:r w:rsidR="00250BE7">
            <w:rPr>
              <w:rFonts w:cs="Tahoma"/>
              <w:noProof/>
            </w:rPr>
            <w:t>17/08/2018</w:t>
          </w:r>
          <w:r>
            <w:rPr>
              <w:rFonts w:cs="Tahoma"/>
            </w:rPr>
            <w:fldChar w:fldCharType="end"/>
          </w:r>
        </w:p>
      </w:tc>
      <w:tc>
        <w:tcPr>
          <w:tcW w:w="2750" w:type="dxa"/>
        </w:tcPr>
        <w:p w:rsidR="008A3CF8" w:rsidRDefault="008A3CF8" w:rsidP="00DA43FA">
          <w:pPr>
            <w:rPr>
              <w:rFonts w:cs="Tahoma"/>
              <w:u w:val="single"/>
            </w:rPr>
          </w:pPr>
          <w:r>
            <w:rPr>
              <w:rFonts w:cs="Tahoma"/>
              <w:u w:val="single"/>
            </w:rPr>
            <w:t>Vérificateur</w:t>
          </w:r>
          <w:r w:rsidRPr="002B766F">
            <w:rPr>
              <w:rFonts w:cs="Tahoma"/>
              <w:u w:val="single"/>
            </w:rPr>
            <w:t> :</w:t>
          </w:r>
        </w:p>
        <w:p w:rsidR="008A3CF8" w:rsidRPr="002B766F" w:rsidRDefault="005D0E4F" w:rsidP="00DA43FA">
          <w:pPr>
            <w:rPr>
              <w:rFonts w:cs="Tahoma"/>
              <w:u w:val="single"/>
            </w:rPr>
          </w:pPr>
          <w:r>
            <w:rPr>
              <w:rFonts w:cs="Tahoma"/>
            </w:rPr>
            <w:fldChar w:fldCharType="begin" w:fldLock="1"/>
          </w:r>
          <w:r>
            <w:rPr>
              <w:rFonts w:cs="Tahoma"/>
            </w:rPr>
            <w:instrText xml:space="preserve"> MERGEFIELD  VERIFICATION_NomPrenom </w:instrText>
          </w:r>
          <w:r>
            <w:rPr>
              <w:rFonts w:cs="Tahoma"/>
            </w:rPr>
            <w:fldChar w:fldCharType="separate"/>
          </w:r>
          <w:r w:rsidR="00250BE7">
            <w:rPr>
              <w:rFonts w:cs="Tahoma"/>
              <w:noProof/>
            </w:rPr>
            <w:t>REINS François, IMBS Pierre</w:t>
          </w:r>
          <w:r>
            <w:rPr>
              <w:rFonts w:cs="Tahoma"/>
            </w:rPr>
            <w:fldChar w:fldCharType="end"/>
          </w:r>
          <w:r w:rsidR="008A3CF8">
            <w:rPr>
              <w:rFonts w:cs="Tahoma"/>
            </w:rPr>
            <w:t xml:space="preserve"> </w:t>
          </w:r>
        </w:p>
        <w:p w:rsidR="008A3CF8" w:rsidRPr="002B766F" w:rsidRDefault="008A3CF8" w:rsidP="005A32B5">
          <w:pPr>
            <w:rPr>
              <w:rFonts w:cs="Tahoma"/>
            </w:rPr>
          </w:pPr>
          <w:r w:rsidRPr="002B766F">
            <w:rPr>
              <w:rFonts w:cs="Tahoma"/>
            </w:rPr>
            <w:t>Date :</w:t>
          </w:r>
          <w:r>
            <w:rPr>
              <w:rFonts w:cs="Tahoma"/>
            </w:rPr>
            <w:t xml:space="preserve"> </w:t>
          </w:r>
          <w:r>
            <w:rPr>
              <w:rFonts w:cs="Tahoma"/>
            </w:rPr>
            <w:fldChar w:fldCharType="begin" w:fldLock="1"/>
          </w:r>
          <w:r w:rsidR="004502C2">
            <w:rPr>
              <w:rFonts w:cs="Tahoma"/>
            </w:rPr>
            <w:instrText xml:space="preserve"> MERGEFIELD VERIFICATION_DateVal </w:instrText>
          </w:r>
          <w:r>
            <w:rPr>
              <w:rFonts w:cs="Tahoma"/>
            </w:rPr>
            <w:fldChar w:fldCharType="separate"/>
          </w:r>
          <w:r w:rsidR="00250BE7">
            <w:rPr>
              <w:rFonts w:cs="Tahoma"/>
              <w:noProof/>
            </w:rPr>
            <w:t>10/09/2018</w:t>
          </w:r>
          <w:r>
            <w:rPr>
              <w:rFonts w:cs="Tahoma"/>
            </w:rPr>
            <w:fldChar w:fldCharType="end"/>
          </w:r>
        </w:p>
      </w:tc>
      <w:tc>
        <w:tcPr>
          <w:tcW w:w="2750" w:type="dxa"/>
        </w:tcPr>
        <w:p w:rsidR="008A3CF8" w:rsidRDefault="008A3CF8" w:rsidP="00DA43FA">
          <w:pPr>
            <w:rPr>
              <w:rFonts w:cs="Tahoma"/>
              <w:u w:val="single"/>
            </w:rPr>
          </w:pPr>
          <w:r w:rsidRPr="002B766F">
            <w:rPr>
              <w:rFonts w:cs="Tahoma"/>
              <w:u w:val="single"/>
            </w:rPr>
            <w:t>Approbation :</w:t>
          </w:r>
        </w:p>
        <w:p w:rsidR="008A3CF8" w:rsidRPr="002B766F" w:rsidRDefault="005D0E4F" w:rsidP="00DA43FA">
          <w:pPr>
            <w:rPr>
              <w:rFonts w:cs="Tahoma"/>
              <w:u w:val="single"/>
            </w:rPr>
          </w:pPr>
          <w:r>
            <w:rPr>
              <w:rFonts w:cs="Tahoma"/>
            </w:rPr>
            <w:fldChar w:fldCharType="begin" w:fldLock="1"/>
          </w:r>
          <w:r>
            <w:rPr>
              <w:rFonts w:cs="Tahoma"/>
            </w:rPr>
            <w:instrText xml:space="preserve"> MERGEFIELD  APPROBATION_NomPrenom </w:instrText>
          </w:r>
          <w:r>
            <w:rPr>
              <w:rFonts w:cs="Tahoma"/>
            </w:rPr>
            <w:fldChar w:fldCharType="separate"/>
          </w:r>
          <w:r w:rsidR="00250BE7">
            <w:rPr>
              <w:rFonts w:cs="Tahoma"/>
              <w:noProof/>
            </w:rPr>
            <w:t>STIRLING Isabelle</w:t>
          </w:r>
          <w:r>
            <w:rPr>
              <w:rFonts w:cs="Tahoma"/>
            </w:rPr>
            <w:fldChar w:fldCharType="end"/>
          </w:r>
          <w:r w:rsidR="008A3CF8">
            <w:rPr>
              <w:rFonts w:cs="Tahoma"/>
            </w:rPr>
            <w:t xml:space="preserve"> </w:t>
          </w:r>
        </w:p>
        <w:p w:rsidR="008A3CF8" w:rsidRPr="002B766F" w:rsidRDefault="008A3CF8" w:rsidP="00CA0481">
          <w:pPr>
            <w:rPr>
              <w:rFonts w:cs="Tahoma"/>
            </w:rPr>
          </w:pPr>
          <w:r w:rsidRPr="002B766F">
            <w:rPr>
              <w:rFonts w:cs="Tahoma"/>
            </w:rPr>
            <w:t>Date :</w:t>
          </w:r>
          <w:r>
            <w:rPr>
              <w:rFonts w:cs="Tahoma"/>
            </w:rPr>
            <w:t xml:space="preserve"> </w:t>
          </w:r>
          <w:r>
            <w:rPr>
              <w:rFonts w:cs="Tahoma"/>
            </w:rPr>
            <w:fldChar w:fldCharType="begin" w:fldLock="1"/>
          </w:r>
          <w:r w:rsidR="00976E61">
            <w:rPr>
              <w:rFonts w:cs="Tahoma"/>
            </w:rPr>
            <w:instrText xml:space="preserve"> MERGEFIELD APPROBATION_DateVal </w:instrText>
          </w:r>
          <w:r>
            <w:rPr>
              <w:rFonts w:cs="Tahoma"/>
            </w:rPr>
            <w:fldChar w:fldCharType="separate"/>
          </w:r>
          <w:r w:rsidR="00250BE7">
            <w:rPr>
              <w:rFonts w:cs="Tahoma"/>
              <w:noProof/>
            </w:rPr>
            <w:t>16/10/2018</w:t>
          </w:r>
          <w:r>
            <w:rPr>
              <w:rFonts w:cs="Tahoma"/>
            </w:rPr>
            <w:fldChar w:fldCharType="end"/>
          </w:r>
        </w:p>
      </w:tc>
      <w:tc>
        <w:tcPr>
          <w:tcW w:w="2750" w:type="dxa"/>
        </w:tcPr>
        <w:p w:rsidR="008A3CF8" w:rsidRDefault="008A3CF8" w:rsidP="00DA43FA">
          <w:pPr>
            <w:ind w:left="-8" w:right="-168"/>
            <w:rPr>
              <w:rFonts w:cs="Tahoma"/>
              <w:u w:val="single"/>
            </w:rPr>
          </w:pPr>
          <w:r w:rsidRPr="002B766F">
            <w:rPr>
              <w:rFonts w:cs="Tahoma"/>
              <w:u w:val="single"/>
            </w:rPr>
            <w:t>Validation :</w:t>
          </w:r>
        </w:p>
        <w:p w:rsidR="008A3CF8" w:rsidRPr="002B766F" w:rsidRDefault="005D0E4F" w:rsidP="00DA43FA">
          <w:pPr>
            <w:ind w:left="-8" w:right="-168"/>
            <w:rPr>
              <w:rFonts w:cs="Tahoma"/>
              <w:u w:val="single"/>
            </w:rPr>
          </w:pPr>
          <w:r>
            <w:rPr>
              <w:rFonts w:cs="Tahoma"/>
            </w:rPr>
            <w:fldChar w:fldCharType="begin" w:fldLock="1"/>
          </w:r>
          <w:r>
            <w:rPr>
              <w:rFonts w:cs="Tahoma"/>
            </w:rPr>
            <w:instrText xml:space="preserve"> MERGEFIELD  VALIDATION_NomPrenom </w:instrText>
          </w:r>
          <w:r>
            <w:rPr>
              <w:rFonts w:cs="Tahoma"/>
            </w:rPr>
            <w:fldChar w:fldCharType="separate"/>
          </w:r>
          <w:r w:rsidR="00250BE7">
            <w:rPr>
              <w:rFonts w:cs="Tahoma"/>
              <w:noProof/>
            </w:rPr>
            <w:t>IMBS Pierre</w:t>
          </w:r>
          <w:r>
            <w:rPr>
              <w:rFonts w:cs="Tahoma"/>
            </w:rPr>
            <w:fldChar w:fldCharType="end"/>
          </w:r>
          <w:r w:rsidR="008A3CF8">
            <w:rPr>
              <w:rFonts w:cs="Tahoma"/>
            </w:rPr>
            <w:t xml:space="preserve"> </w:t>
          </w:r>
        </w:p>
        <w:p w:rsidR="008A3CF8" w:rsidRDefault="008A3CF8" w:rsidP="00E048DF">
          <w:pPr>
            <w:rPr>
              <w:rFonts w:cs="Tahoma"/>
            </w:rPr>
          </w:pPr>
          <w:r w:rsidRPr="002B766F">
            <w:rPr>
              <w:rFonts w:cs="Tahoma"/>
            </w:rPr>
            <w:t>Date :</w:t>
          </w:r>
          <w:r>
            <w:rPr>
              <w:rFonts w:cs="Tahoma"/>
            </w:rPr>
            <w:t xml:space="preserve"> </w:t>
          </w:r>
          <w:r>
            <w:rPr>
              <w:rFonts w:cs="Tahoma"/>
            </w:rPr>
            <w:fldChar w:fldCharType="begin" w:fldLock="1"/>
          </w:r>
          <w:r w:rsidR="00FB5287">
            <w:rPr>
              <w:rFonts w:cs="Tahoma"/>
            </w:rPr>
            <w:instrText xml:space="preserve"> MERGEFIELD VALIDATION_DateVal </w:instrText>
          </w:r>
          <w:r>
            <w:rPr>
              <w:rFonts w:cs="Tahoma"/>
            </w:rPr>
            <w:fldChar w:fldCharType="separate"/>
          </w:r>
          <w:r w:rsidR="00250BE7">
            <w:rPr>
              <w:rFonts w:cs="Tahoma"/>
              <w:noProof/>
            </w:rPr>
            <w:t>31/01/2019</w:t>
          </w:r>
          <w:r>
            <w:rPr>
              <w:rFonts w:cs="Tahoma"/>
            </w:rPr>
            <w:fldChar w:fldCharType="end"/>
          </w:r>
        </w:p>
        <w:p w:rsidR="008A3CF8" w:rsidRPr="002B766F" w:rsidRDefault="008A3CF8" w:rsidP="00E048DF">
          <w:pPr>
            <w:rPr>
              <w:rFonts w:cs="Tahoma"/>
            </w:rPr>
          </w:pPr>
        </w:p>
      </w:tc>
    </w:tr>
  </w:tbl>
  <w:p w:rsidR="008A3CF8" w:rsidRDefault="008A3CF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EA3" w:rsidRDefault="00AF7E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9D6" w:rsidRDefault="001A59D6" w:rsidP="0044250A">
      <w:r>
        <w:separator/>
      </w:r>
    </w:p>
  </w:footnote>
  <w:footnote w:type="continuationSeparator" w:id="0">
    <w:p w:rsidR="001A59D6" w:rsidRDefault="001A59D6" w:rsidP="00442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EA3" w:rsidRDefault="00AF7E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4546"/>
      <w:gridCol w:w="3856"/>
    </w:tblGrid>
    <w:tr w:rsidR="00BC55DB" w:rsidRPr="002B766F" w:rsidTr="00BC55DB">
      <w:trPr>
        <w:trHeight w:val="907"/>
      </w:trPr>
      <w:tc>
        <w:tcPr>
          <w:tcW w:w="2655" w:type="dxa"/>
          <w:vMerge w:val="restart"/>
          <w:vAlign w:val="center"/>
        </w:tcPr>
        <w:p w:rsidR="00BC55DB" w:rsidRPr="00496DA9" w:rsidRDefault="001A59D6" w:rsidP="0044250A">
          <w:pPr>
            <w:jc w:val="center"/>
            <w:rPr>
              <w:rFonts w:ascii="Tahoma" w:hAnsi="Tahoma" w:cs="Tahoma"/>
              <w:sz w:val="20"/>
              <w:szCs w:val="20"/>
            </w:rPr>
          </w:pPr>
          <w:r>
            <w:rPr>
              <w:rFonts w:ascii="Tahoma" w:hAnsi="Tahoma" w:cs="Tahoma"/>
              <w:noProof/>
              <w:sz w:val="22"/>
            </w:rPr>
            <w:drawing>
              <wp:inline distT="0" distB="0" distL="0" distR="0">
                <wp:extent cx="1314450" cy="1047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p>
      </w:tc>
      <w:tc>
        <w:tcPr>
          <w:tcW w:w="4546" w:type="dxa"/>
          <w:vAlign w:val="center"/>
        </w:tcPr>
        <w:p w:rsidR="00BC55DB" w:rsidRPr="00496DA9" w:rsidRDefault="00BC55DB" w:rsidP="0044250A">
          <w:pPr>
            <w:jc w:val="center"/>
            <w:rPr>
              <w:rFonts w:ascii="Tahoma" w:hAnsi="Tahoma" w:cs="Tahoma"/>
              <w:sz w:val="28"/>
              <w:szCs w:val="28"/>
            </w:rPr>
          </w:pPr>
          <w:r w:rsidRPr="00496DA9">
            <w:rPr>
              <w:rFonts w:ascii="Tahoma" w:hAnsi="Tahoma" w:cs="Tahoma"/>
              <w:b/>
              <w:sz w:val="28"/>
              <w:szCs w:val="28"/>
            </w:rPr>
            <w:t>LABORATOIRE</w:t>
          </w:r>
        </w:p>
      </w:tc>
      <w:tc>
        <w:tcPr>
          <w:tcW w:w="3856" w:type="dxa"/>
          <w:vAlign w:val="center"/>
        </w:tcPr>
        <w:p w:rsidR="00BC55DB" w:rsidRDefault="00BC55DB" w:rsidP="008F37FE">
          <w:pPr>
            <w:rPr>
              <w:rFonts w:ascii="Tahoma" w:hAnsi="Tahoma" w:cs="Tahoma"/>
              <w:sz w:val="20"/>
              <w:szCs w:val="20"/>
            </w:rPr>
          </w:pPr>
          <w:r>
            <w:rPr>
              <w:rFonts w:ascii="Tahoma" w:hAnsi="Tahoma" w:cs="Tahoma"/>
              <w:sz w:val="20"/>
              <w:szCs w:val="20"/>
            </w:rPr>
            <w:t>Code du document :</w:t>
          </w:r>
          <w:r>
            <w:rPr>
              <w:rFonts w:ascii="Tahoma" w:hAnsi="Tahoma" w:cs="Tahoma"/>
              <w:color w:val="FF0000"/>
            </w:rPr>
            <w:t xml:space="preserve"> </w:t>
          </w:r>
          <w:r>
            <w:rPr>
              <w:rFonts w:ascii="Tahoma" w:hAnsi="Tahoma" w:cs="Tahoma"/>
              <w:color w:val="FF0000"/>
            </w:rPr>
            <w:fldChar w:fldCharType="begin" w:fldLock="1"/>
          </w:r>
          <w:r>
            <w:rPr>
              <w:rFonts w:ascii="Tahoma" w:hAnsi="Tahoma" w:cs="Tahoma"/>
              <w:color w:val="FF0000"/>
            </w:rPr>
            <w:instrText xml:space="preserve"> MERGEFIELD CODETEXTE </w:instrText>
          </w:r>
          <w:r>
            <w:rPr>
              <w:rFonts w:ascii="Tahoma" w:hAnsi="Tahoma" w:cs="Tahoma"/>
              <w:color w:val="FF0000"/>
            </w:rPr>
            <w:fldChar w:fldCharType="separate"/>
          </w:r>
          <w:r w:rsidR="00250BE7">
            <w:rPr>
              <w:rFonts w:ascii="Tahoma" w:hAnsi="Tahoma" w:cs="Tahoma"/>
              <w:noProof/>
              <w:color w:val="FF0000"/>
            </w:rPr>
            <w:t>PRO-PREA-006</w:t>
          </w:r>
          <w:r>
            <w:rPr>
              <w:rFonts w:ascii="Tahoma" w:hAnsi="Tahoma" w:cs="Tahoma"/>
              <w:color w:val="FF0000"/>
            </w:rPr>
            <w:fldChar w:fldCharType="end"/>
          </w:r>
        </w:p>
        <w:p w:rsidR="00BC55DB" w:rsidRDefault="00BC55DB" w:rsidP="008F37FE">
          <w:pPr>
            <w:rPr>
              <w:rFonts w:ascii="Tahoma" w:hAnsi="Tahoma" w:cs="Tahoma"/>
              <w:sz w:val="20"/>
              <w:szCs w:val="20"/>
            </w:rPr>
          </w:pPr>
          <w:r>
            <w:rPr>
              <w:rFonts w:ascii="Tahoma" w:hAnsi="Tahoma" w:cs="Tahoma"/>
              <w:sz w:val="20"/>
              <w:szCs w:val="20"/>
            </w:rPr>
            <w:t>Version :</w:t>
          </w:r>
          <w:r>
            <w:rPr>
              <w:rFonts w:ascii="Tahoma" w:hAnsi="Tahoma" w:cs="Tahoma"/>
              <w:sz w:val="20"/>
              <w:szCs w:val="20"/>
            </w:rPr>
            <w:fldChar w:fldCharType="begin" w:fldLock="1"/>
          </w:r>
          <w:r>
            <w:rPr>
              <w:rFonts w:ascii="Tahoma" w:hAnsi="Tahoma" w:cs="Tahoma"/>
              <w:sz w:val="20"/>
              <w:szCs w:val="20"/>
            </w:rPr>
            <w:instrText xml:space="preserve"> MERGEFIELD VERSION </w:instrText>
          </w:r>
          <w:r>
            <w:rPr>
              <w:rFonts w:ascii="Tahoma" w:hAnsi="Tahoma" w:cs="Tahoma"/>
              <w:sz w:val="20"/>
              <w:szCs w:val="20"/>
            </w:rPr>
            <w:fldChar w:fldCharType="separate"/>
          </w:r>
          <w:r w:rsidR="00250BE7">
            <w:rPr>
              <w:rFonts w:ascii="Tahoma" w:hAnsi="Tahoma" w:cs="Tahoma"/>
              <w:noProof/>
              <w:sz w:val="20"/>
              <w:szCs w:val="20"/>
            </w:rPr>
            <w:t>3</w:t>
          </w:r>
          <w:r>
            <w:rPr>
              <w:rFonts w:ascii="Tahoma" w:hAnsi="Tahoma" w:cs="Tahoma"/>
              <w:sz w:val="20"/>
              <w:szCs w:val="20"/>
            </w:rPr>
            <w:fldChar w:fldCharType="end"/>
          </w:r>
        </w:p>
        <w:p w:rsidR="00BC55DB" w:rsidRDefault="00BC55DB" w:rsidP="008F37FE">
          <w:pPr>
            <w:rPr>
              <w:rFonts w:ascii="Tahoma" w:hAnsi="Tahoma" w:cs="Tahoma"/>
              <w:color w:val="FF0000"/>
              <w:sz w:val="20"/>
              <w:szCs w:val="20"/>
            </w:rPr>
          </w:pPr>
        </w:p>
      </w:tc>
    </w:tr>
    <w:tr w:rsidR="00BC55DB" w:rsidRPr="002B766F" w:rsidTr="00BC55DB">
      <w:trPr>
        <w:trHeight w:val="907"/>
      </w:trPr>
      <w:tc>
        <w:tcPr>
          <w:tcW w:w="2655" w:type="dxa"/>
          <w:vMerge/>
          <w:vAlign w:val="center"/>
        </w:tcPr>
        <w:p w:rsidR="00BC55DB" w:rsidRPr="00496DA9" w:rsidRDefault="00BC55DB" w:rsidP="0044250A">
          <w:pPr>
            <w:jc w:val="center"/>
            <w:rPr>
              <w:rFonts w:ascii="Tahoma" w:hAnsi="Tahoma" w:cs="Tahoma"/>
              <w:sz w:val="20"/>
              <w:szCs w:val="20"/>
            </w:rPr>
          </w:pPr>
        </w:p>
      </w:tc>
      <w:tc>
        <w:tcPr>
          <w:tcW w:w="4546" w:type="dxa"/>
          <w:vAlign w:val="center"/>
        </w:tcPr>
        <w:p w:rsidR="00BC55DB" w:rsidRPr="00496DA9" w:rsidRDefault="00BC55DB" w:rsidP="0044250A">
          <w:pPr>
            <w:jc w:val="center"/>
            <w:rPr>
              <w:rFonts w:ascii="Tahoma" w:hAnsi="Tahoma" w:cs="Tahoma"/>
              <w:b/>
              <w:szCs w:val="24"/>
            </w:rPr>
          </w:pPr>
          <w:r w:rsidRPr="00496DA9">
            <w:rPr>
              <w:rFonts w:ascii="Tahoma" w:hAnsi="Tahoma" w:cs="Tahoma"/>
              <w:b/>
              <w:szCs w:val="24"/>
            </w:rPr>
            <w:t>Procédure</w:t>
          </w:r>
        </w:p>
        <w:p w:rsidR="00BC55DB" w:rsidRPr="00496DA9" w:rsidRDefault="00BC55DB" w:rsidP="00FF1CFE">
          <w:pPr>
            <w:jc w:val="center"/>
            <w:rPr>
              <w:rFonts w:ascii="Tahoma" w:hAnsi="Tahoma" w:cs="Tahoma"/>
              <w:b/>
              <w:color w:val="FF0000"/>
            </w:rPr>
          </w:pPr>
          <w:r>
            <w:rPr>
              <w:rFonts w:ascii="Tahoma" w:hAnsi="Tahoma" w:cs="Tahoma"/>
              <w:color w:val="FF0000"/>
            </w:rPr>
            <w:fldChar w:fldCharType="begin" w:fldLock="1"/>
          </w:r>
          <w:r>
            <w:rPr>
              <w:rFonts w:ascii="Tahoma" w:hAnsi="Tahoma" w:cs="Tahoma"/>
              <w:color w:val="FF0000"/>
            </w:rPr>
            <w:instrText xml:space="preserve"> MERGEFIELD TITRE </w:instrText>
          </w:r>
          <w:r>
            <w:rPr>
              <w:rFonts w:ascii="Tahoma" w:hAnsi="Tahoma" w:cs="Tahoma"/>
              <w:color w:val="FF0000"/>
            </w:rPr>
            <w:fldChar w:fldCharType="separate"/>
          </w:r>
          <w:r w:rsidR="00250BE7">
            <w:rPr>
              <w:rFonts w:ascii="Tahoma" w:hAnsi="Tahoma" w:cs="Tahoma"/>
              <w:noProof/>
              <w:color w:val="FF0000"/>
            </w:rPr>
            <w:t>RENSEIGNEMENTS CLINIQUES ET REVUE DES PRESCRIPTIONS</w:t>
          </w:r>
          <w:r>
            <w:rPr>
              <w:rFonts w:ascii="Tahoma" w:hAnsi="Tahoma" w:cs="Tahoma"/>
              <w:color w:val="FF0000"/>
            </w:rPr>
            <w:fldChar w:fldCharType="end"/>
          </w:r>
        </w:p>
      </w:tc>
      <w:tc>
        <w:tcPr>
          <w:tcW w:w="3856" w:type="dxa"/>
        </w:tcPr>
        <w:p w:rsidR="00BC55DB" w:rsidRDefault="00BC55DB">
          <w:pPr>
            <w:rPr>
              <w:rFonts w:ascii="Tahoma" w:hAnsi="Tahoma" w:cs="Tahoma"/>
              <w:sz w:val="20"/>
              <w:szCs w:val="20"/>
            </w:rPr>
          </w:pPr>
          <w:r>
            <w:rPr>
              <w:rFonts w:ascii="Tahoma" w:hAnsi="Tahoma" w:cs="Tahoma"/>
              <w:sz w:val="20"/>
              <w:szCs w:val="20"/>
            </w:rPr>
            <w:t>Auteur :</w:t>
          </w:r>
          <w:r>
            <w:rPr>
              <w:rFonts w:ascii="Tahoma" w:hAnsi="Tahoma" w:cs="Tahoma"/>
              <w:sz w:val="20"/>
              <w:szCs w:val="20"/>
            </w:rPr>
            <w:fldChar w:fldCharType="begin" w:fldLock="1"/>
          </w:r>
          <w:r>
            <w:rPr>
              <w:rFonts w:ascii="Tahoma" w:hAnsi="Tahoma" w:cs="Tahoma"/>
              <w:sz w:val="20"/>
              <w:szCs w:val="20"/>
            </w:rPr>
            <w:instrText xml:space="preserve"> MERGEFIELD  REDACTION_NomPrenom </w:instrText>
          </w:r>
          <w:r>
            <w:rPr>
              <w:rFonts w:ascii="Tahoma" w:hAnsi="Tahoma" w:cs="Tahoma"/>
              <w:sz w:val="20"/>
              <w:szCs w:val="20"/>
            </w:rPr>
            <w:fldChar w:fldCharType="separate"/>
          </w:r>
          <w:r w:rsidR="00250BE7">
            <w:rPr>
              <w:rFonts w:ascii="Tahoma" w:hAnsi="Tahoma" w:cs="Tahoma"/>
              <w:noProof/>
              <w:sz w:val="20"/>
              <w:szCs w:val="20"/>
            </w:rPr>
            <w:t>QUEUCHE FREDERIC</w:t>
          </w:r>
          <w:r>
            <w:rPr>
              <w:rFonts w:ascii="Tahoma" w:hAnsi="Tahoma" w:cs="Tahoma"/>
              <w:sz w:val="20"/>
              <w:szCs w:val="20"/>
            </w:rPr>
            <w:fldChar w:fldCharType="end"/>
          </w:r>
          <w:r>
            <w:rPr>
              <w:rFonts w:ascii="Tahoma" w:hAnsi="Tahoma" w:cs="Tahoma"/>
              <w:sz w:val="20"/>
              <w:szCs w:val="20"/>
            </w:rPr>
            <w:t xml:space="preserve"> </w:t>
          </w:r>
        </w:p>
        <w:p w:rsidR="00BC55DB" w:rsidRDefault="00BC55DB">
          <w:pPr>
            <w:rPr>
              <w:rFonts w:ascii="Tahoma" w:hAnsi="Tahoma" w:cs="Tahoma"/>
              <w:sz w:val="20"/>
              <w:szCs w:val="20"/>
            </w:rPr>
          </w:pPr>
          <w:r>
            <w:rPr>
              <w:rFonts w:ascii="Tahoma" w:hAnsi="Tahoma" w:cs="Tahoma"/>
              <w:sz w:val="20"/>
              <w:szCs w:val="20"/>
            </w:rPr>
            <w:t xml:space="preserve">Date d’application : </w:t>
          </w:r>
          <w:r>
            <w:rPr>
              <w:rFonts w:ascii="Tahoma" w:hAnsi="Tahoma" w:cs="Tahoma"/>
              <w:sz w:val="20"/>
              <w:szCs w:val="20"/>
            </w:rPr>
            <w:fldChar w:fldCharType="begin" w:fldLock="1"/>
          </w:r>
          <w:r w:rsidR="00FB5287">
            <w:rPr>
              <w:rFonts w:ascii="Tahoma" w:hAnsi="Tahoma" w:cs="Tahoma"/>
              <w:sz w:val="20"/>
              <w:szCs w:val="20"/>
            </w:rPr>
            <w:instrText xml:space="preserve"> MERGEFIELD DATEAPPLI </w:instrText>
          </w:r>
          <w:r>
            <w:rPr>
              <w:rFonts w:ascii="Tahoma" w:hAnsi="Tahoma" w:cs="Tahoma"/>
              <w:sz w:val="20"/>
              <w:szCs w:val="20"/>
            </w:rPr>
            <w:fldChar w:fldCharType="separate"/>
          </w:r>
          <w:r w:rsidR="00250BE7">
            <w:rPr>
              <w:rFonts w:ascii="Tahoma" w:hAnsi="Tahoma" w:cs="Tahoma"/>
              <w:noProof/>
              <w:sz w:val="20"/>
              <w:szCs w:val="20"/>
            </w:rPr>
            <w:t>02/03/2019</w:t>
          </w:r>
          <w:r>
            <w:rPr>
              <w:rFonts w:ascii="Tahoma" w:hAnsi="Tahoma" w:cs="Tahoma"/>
              <w:sz w:val="20"/>
              <w:szCs w:val="20"/>
            </w:rPr>
            <w:fldChar w:fldCharType="end"/>
          </w:r>
          <w:r>
            <w:rPr>
              <w:rFonts w:ascii="Tahoma" w:hAnsi="Tahoma" w:cs="Tahoma"/>
              <w:sz w:val="20"/>
              <w:szCs w:val="20"/>
            </w:rPr>
            <w:t xml:space="preserve"> </w:t>
          </w:r>
        </w:p>
        <w:p w:rsidR="00BC55DB" w:rsidRDefault="00BC55DB">
          <w:pPr>
            <w:rPr>
              <w:rFonts w:ascii="Tahoma" w:hAnsi="Tahoma" w:cs="Tahoma"/>
              <w:sz w:val="20"/>
              <w:szCs w:val="20"/>
            </w:rPr>
          </w:pPr>
          <w:r>
            <w:rPr>
              <w:rFonts w:ascii="Tahoma" w:hAnsi="Tahoma" w:cs="Tahoma"/>
              <w:sz w:val="20"/>
              <w:szCs w:val="20"/>
            </w:rPr>
            <w:t xml:space="preserve">Page </w:t>
          </w:r>
          <w:r w:rsidRPr="00532FDC">
            <w:rPr>
              <w:rFonts w:ascii="Tahoma" w:hAnsi="Tahoma" w:cs="Tahoma"/>
              <w:sz w:val="20"/>
              <w:szCs w:val="20"/>
            </w:rPr>
            <w:fldChar w:fldCharType="begin"/>
          </w:r>
          <w:r w:rsidRPr="00532FDC">
            <w:rPr>
              <w:rFonts w:ascii="Tahoma" w:hAnsi="Tahoma" w:cs="Tahoma"/>
              <w:sz w:val="20"/>
              <w:szCs w:val="20"/>
            </w:rPr>
            <w:instrText xml:space="preserve"> PAGE </w:instrText>
          </w:r>
          <w:r>
            <w:rPr>
              <w:rFonts w:ascii="Tahoma" w:hAnsi="Tahoma" w:cs="Tahoma"/>
              <w:sz w:val="20"/>
              <w:szCs w:val="20"/>
            </w:rPr>
            <w:fldChar w:fldCharType="separate"/>
          </w:r>
          <w:r w:rsidR="002A764C">
            <w:rPr>
              <w:rFonts w:ascii="Tahoma" w:hAnsi="Tahoma" w:cs="Tahoma"/>
              <w:noProof/>
              <w:sz w:val="20"/>
              <w:szCs w:val="20"/>
            </w:rPr>
            <w:t>2</w:t>
          </w:r>
          <w:r w:rsidRPr="00532FDC">
            <w:rPr>
              <w:rFonts w:ascii="Tahoma" w:hAnsi="Tahoma" w:cs="Tahoma"/>
              <w:sz w:val="20"/>
              <w:szCs w:val="20"/>
            </w:rPr>
            <w:fldChar w:fldCharType="end"/>
          </w:r>
          <w:r w:rsidRPr="00532FDC">
            <w:rPr>
              <w:rFonts w:ascii="Tahoma" w:hAnsi="Tahoma" w:cs="Tahoma"/>
              <w:sz w:val="20"/>
              <w:szCs w:val="20"/>
            </w:rPr>
            <w:t xml:space="preserve"> </w:t>
          </w:r>
          <w:r>
            <w:rPr>
              <w:rFonts w:ascii="Tahoma" w:hAnsi="Tahoma" w:cs="Tahoma"/>
              <w:sz w:val="20"/>
              <w:szCs w:val="20"/>
            </w:rPr>
            <w:t>/</w:t>
          </w:r>
          <w:r w:rsidRPr="00532FDC">
            <w:rPr>
              <w:rFonts w:ascii="Tahoma" w:hAnsi="Tahoma" w:cs="Tahoma"/>
              <w:sz w:val="20"/>
              <w:szCs w:val="20"/>
            </w:rPr>
            <w:t xml:space="preserve"> </w:t>
          </w:r>
          <w:r w:rsidRPr="00532FDC">
            <w:rPr>
              <w:rFonts w:ascii="Tahoma" w:hAnsi="Tahoma" w:cs="Tahoma"/>
              <w:sz w:val="20"/>
              <w:szCs w:val="20"/>
            </w:rPr>
            <w:fldChar w:fldCharType="begin"/>
          </w:r>
          <w:r w:rsidRPr="00532FDC">
            <w:rPr>
              <w:rFonts w:ascii="Tahoma" w:hAnsi="Tahoma" w:cs="Tahoma"/>
              <w:sz w:val="20"/>
              <w:szCs w:val="20"/>
            </w:rPr>
            <w:instrText xml:space="preserve"> NUMPAGES </w:instrText>
          </w:r>
          <w:r>
            <w:rPr>
              <w:rFonts w:ascii="Tahoma" w:hAnsi="Tahoma" w:cs="Tahoma"/>
              <w:sz w:val="20"/>
              <w:szCs w:val="20"/>
            </w:rPr>
            <w:fldChar w:fldCharType="separate"/>
          </w:r>
          <w:r w:rsidR="002A764C">
            <w:rPr>
              <w:rFonts w:ascii="Tahoma" w:hAnsi="Tahoma" w:cs="Tahoma"/>
              <w:noProof/>
              <w:sz w:val="20"/>
              <w:szCs w:val="20"/>
            </w:rPr>
            <w:t>2</w:t>
          </w:r>
          <w:r w:rsidRPr="00532FDC">
            <w:rPr>
              <w:rFonts w:ascii="Tahoma" w:hAnsi="Tahoma" w:cs="Tahoma"/>
              <w:sz w:val="20"/>
              <w:szCs w:val="20"/>
            </w:rPr>
            <w:fldChar w:fldCharType="end"/>
          </w:r>
        </w:p>
      </w:tc>
    </w:tr>
  </w:tbl>
  <w:p w:rsidR="008A3CF8" w:rsidRPr="0044250A" w:rsidRDefault="001A59D6" w:rsidP="0044250A">
    <w:pPr>
      <w:pStyle w:val="En-tte"/>
    </w:pPr>
    <w:r w:rsidRPr="00FD0C8B">
      <w:rPr>
        <w:rFonts w:ascii="Arial" w:hAnsi="Arial" w:cs="Arial"/>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575.5pt;height:63.9pt;rotation:315;z-index:-251658752;mso-position-horizontal:center;mso-position-horizontal-relative:margin;mso-position-vertical:center;mso-position-vertical-relative:margin" o:allowincell="f" fillcolor="#a5a5a5" stroked="f">
          <v:fill opacity=".5"/>
          <v:textpath style="font-family:&quot;Calibri&quot;;font-size:1pt" string="Seule la version éléctronique fait fo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EA3" w:rsidRDefault="00AF7E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80E"/>
    <w:multiLevelType w:val="hybridMultilevel"/>
    <w:tmpl w:val="361631EA"/>
    <w:lvl w:ilvl="0" w:tplc="5176B5B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C04736"/>
    <w:multiLevelType w:val="hybridMultilevel"/>
    <w:tmpl w:val="BC1E4E1E"/>
    <w:lvl w:ilvl="0" w:tplc="2DE2B280">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934D9"/>
    <w:multiLevelType w:val="hybridMultilevel"/>
    <w:tmpl w:val="747A092C"/>
    <w:lvl w:ilvl="0" w:tplc="4F329E84">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EA59D6"/>
    <w:multiLevelType w:val="hybridMultilevel"/>
    <w:tmpl w:val="E05492F2"/>
    <w:lvl w:ilvl="0" w:tplc="D0EEE5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25D1EA4"/>
    <w:multiLevelType w:val="hybridMultilevel"/>
    <w:tmpl w:val="41A267C6"/>
    <w:lvl w:ilvl="0" w:tplc="040C0001">
      <w:start w:val="1"/>
      <w:numFmt w:val="bullet"/>
      <w:lvlText w:val=""/>
      <w:lvlJc w:val="left"/>
      <w:pPr>
        <w:ind w:left="743" w:hanging="360"/>
      </w:pPr>
      <w:rPr>
        <w:rFonts w:ascii="Symbol" w:hAnsi="Symbol" w:hint="default"/>
      </w:rPr>
    </w:lvl>
    <w:lvl w:ilvl="1" w:tplc="040C0003" w:tentative="1">
      <w:start w:val="1"/>
      <w:numFmt w:val="bullet"/>
      <w:lvlText w:val="o"/>
      <w:lvlJc w:val="left"/>
      <w:pPr>
        <w:ind w:left="1463" w:hanging="360"/>
      </w:pPr>
      <w:rPr>
        <w:rFonts w:ascii="Courier New" w:hAnsi="Courier New" w:cs="Courier New" w:hint="default"/>
      </w:rPr>
    </w:lvl>
    <w:lvl w:ilvl="2" w:tplc="040C0005" w:tentative="1">
      <w:start w:val="1"/>
      <w:numFmt w:val="bullet"/>
      <w:lvlText w:val=""/>
      <w:lvlJc w:val="left"/>
      <w:pPr>
        <w:ind w:left="2183" w:hanging="360"/>
      </w:pPr>
      <w:rPr>
        <w:rFonts w:ascii="Wingdings" w:hAnsi="Wingdings" w:hint="default"/>
      </w:rPr>
    </w:lvl>
    <w:lvl w:ilvl="3" w:tplc="040C0001" w:tentative="1">
      <w:start w:val="1"/>
      <w:numFmt w:val="bullet"/>
      <w:lvlText w:val=""/>
      <w:lvlJc w:val="left"/>
      <w:pPr>
        <w:ind w:left="2903" w:hanging="360"/>
      </w:pPr>
      <w:rPr>
        <w:rFonts w:ascii="Symbol" w:hAnsi="Symbol" w:hint="default"/>
      </w:rPr>
    </w:lvl>
    <w:lvl w:ilvl="4" w:tplc="040C0003" w:tentative="1">
      <w:start w:val="1"/>
      <w:numFmt w:val="bullet"/>
      <w:lvlText w:val="o"/>
      <w:lvlJc w:val="left"/>
      <w:pPr>
        <w:ind w:left="3623" w:hanging="360"/>
      </w:pPr>
      <w:rPr>
        <w:rFonts w:ascii="Courier New" w:hAnsi="Courier New" w:cs="Courier New" w:hint="default"/>
      </w:rPr>
    </w:lvl>
    <w:lvl w:ilvl="5" w:tplc="040C0005" w:tentative="1">
      <w:start w:val="1"/>
      <w:numFmt w:val="bullet"/>
      <w:lvlText w:val=""/>
      <w:lvlJc w:val="left"/>
      <w:pPr>
        <w:ind w:left="4343" w:hanging="360"/>
      </w:pPr>
      <w:rPr>
        <w:rFonts w:ascii="Wingdings" w:hAnsi="Wingdings" w:hint="default"/>
      </w:rPr>
    </w:lvl>
    <w:lvl w:ilvl="6" w:tplc="040C0001" w:tentative="1">
      <w:start w:val="1"/>
      <w:numFmt w:val="bullet"/>
      <w:lvlText w:val=""/>
      <w:lvlJc w:val="left"/>
      <w:pPr>
        <w:ind w:left="5063" w:hanging="360"/>
      </w:pPr>
      <w:rPr>
        <w:rFonts w:ascii="Symbol" w:hAnsi="Symbol" w:hint="default"/>
      </w:rPr>
    </w:lvl>
    <w:lvl w:ilvl="7" w:tplc="040C0003" w:tentative="1">
      <w:start w:val="1"/>
      <w:numFmt w:val="bullet"/>
      <w:lvlText w:val="o"/>
      <w:lvlJc w:val="left"/>
      <w:pPr>
        <w:ind w:left="5783" w:hanging="360"/>
      </w:pPr>
      <w:rPr>
        <w:rFonts w:ascii="Courier New" w:hAnsi="Courier New" w:cs="Courier New" w:hint="default"/>
      </w:rPr>
    </w:lvl>
    <w:lvl w:ilvl="8" w:tplc="040C0005" w:tentative="1">
      <w:start w:val="1"/>
      <w:numFmt w:val="bullet"/>
      <w:lvlText w:val=""/>
      <w:lvlJc w:val="left"/>
      <w:pPr>
        <w:ind w:left="6503" w:hanging="360"/>
      </w:pPr>
      <w:rPr>
        <w:rFonts w:ascii="Wingdings" w:hAnsi="Wingdings" w:hint="default"/>
      </w:rPr>
    </w:lvl>
  </w:abstractNum>
  <w:abstractNum w:abstractNumId="5" w15:restartNumberingAfterBreak="0">
    <w:nsid w:val="6270281B"/>
    <w:multiLevelType w:val="hybridMultilevel"/>
    <w:tmpl w:val="3D9269CE"/>
    <w:lvl w:ilvl="0" w:tplc="C550133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67243C6"/>
    <w:multiLevelType w:val="hybridMultilevel"/>
    <w:tmpl w:val="47AE3AE8"/>
    <w:lvl w:ilvl="0" w:tplc="CF1CEB8E">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D6"/>
    <w:rsid w:val="00014F5D"/>
    <w:rsid w:val="00045F79"/>
    <w:rsid w:val="0004754C"/>
    <w:rsid w:val="000C17D2"/>
    <w:rsid w:val="000D273E"/>
    <w:rsid w:val="000D772D"/>
    <w:rsid w:val="000E2494"/>
    <w:rsid w:val="000E4889"/>
    <w:rsid w:val="00116664"/>
    <w:rsid w:val="00131180"/>
    <w:rsid w:val="00132142"/>
    <w:rsid w:val="00136E91"/>
    <w:rsid w:val="0013764C"/>
    <w:rsid w:val="00163277"/>
    <w:rsid w:val="00167864"/>
    <w:rsid w:val="00182901"/>
    <w:rsid w:val="001929BC"/>
    <w:rsid w:val="001A1366"/>
    <w:rsid w:val="001A59D6"/>
    <w:rsid w:val="001D085F"/>
    <w:rsid w:val="001D640E"/>
    <w:rsid w:val="00204B0B"/>
    <w:rsid w:val="002173D0"/>
    <w:rsid w:val="00235955"/>
    <w:rsid w:val="00250BE7"/>
    <w:rsid w:val="00251FBC"/>
    <w:rsid w:val="00256686"/>
    <w:rsid w:val="002628A1"/>
    <w:rsid w:val="002745A1"/>
    <w:rsid w:val="00277417"/>
    <w:rsid w:val="002A1493"/>
    <w:rsid w:val="002A40D9"/>
    <w:rsid w:val="002A764C"/>
    <w:rsid w:val="002B7618"/>
    <w:rsid w:val="002B766F"/>
    <w:rsid w:val="002C1A91"/>
    <w:rsid w:val="002E086E"/>
    <w:rsid w:val="002F5889"/>
    <w:rsid w:val="0030028A"/>
    <w:rsid w:val="0030339A"/>
    <w:rsid w:val="003108AF"/>
    <w:rsid w:val="00320688"/>
    <w:rsid w:val="0032308D"/>
    <w:rsid w:val="0033074C"/>
    <w:rsid w:val="00336B04"/>
    <w:rsid w:val="003378E5"/>
    <w:rsid w:val="00343475"/>
    <w:rsid w:val="00346763"/>
    <w:rsid w:val="00347C6B"/>
    <w:rsid w:val="00352892"/>
    <w:rsid w:val="0035542D"/>
    <w:rsid w:val="003864F6"/>
    <w:rsid w:val="003A7E1C"/>
    <w:rsid w:val="003D01DC"/>
    <w:rsid w:val="003F7798"/>
    <w:rsid w:val="00403EE7"/>
    <w:rsid w:val="00417766"/>
    <w:rsid w:val="00420164"/>
    <w:rsid w:val="0043457D"/>
    <w:rsid w:val="0044250A"/>
    <w:rsid w:val="004442A6"/>
    <w:rsid w:val="00446401"/>
    <w:rsid w:val="004502C2"/>
    <w:rsid w:val="00473334"/>
    <w:rsid w:val="00475296"/>
    <w:rsid w:val="00496DA9"/>
    <w:rsid w:val="0050014C"/>
    <w:rsid w:val="00504C55"/>
    <w:rsid w:val="00514916"/>
    <w:rsid w:val="00532FDC"/>
    <w:rsid w:val="0055311D"/>
    <w:rsid w:val="00554C4E"/>
    <w:rsid w:val="00574762"/>
    <w:rsid w:val="00590FF2"/>
    <w:rsid w:val="00591277"/>
    <w:rsid w:val="005A32B5"/>
    <w:rsid w:val="005B001B"/>
    <w:rsid w:val="005B36FB"/>
    <w:rsid w:val="005B430F"/>
    <w:rsid w:val="005C5C95"/>
    <w:rsid w:val="005D0E4F"/>
    <w:rsid w:val="0060157E"/>
    <w:rsid w:val="00613DE8"/>
    <w:rsid w:val="00627628"/>
    <w:rsid w:val="00634D7E"/>
    <w:rsid w:val="00637881"/>
    <w:rsid w:val="00647F25"/>
    <w:rsid w:val="006512C0"/>
    <w:rsid w:val="00675CEF"/>
    <w:rsid w:val="00687031"/>
    <w:rsid w:val="006936E5"/>
    <w:rsid w:val="00696556"/>
    <w:rsid w:val="00697AEC"/>
    <w:rsid w:val="006A17B6"/>
    <w:rsid w:val="006D2B9C"/>
    <w:rsid w:val="006F31C1"/>
    <w:rsid w:val="00722983"/>
    <w:rsid w:val="00725B70"/>
    <w:rsid w:val="00737B14"/>
    <w:rsid w:val="007430A3"/>
    <w:rsid w:val="00752B98"/>
    <w:rsid w:val="007641C9"/>
    <w:rsid w:val="00776487"/>
    <w:rsid w:val="00784E6C"/>
    <w:rsid w:val="00795A98"/>
    <w:rsid w:val="007C2671"/>
    <w:rsid w:val="007C6226"/>
    <w:rsid w:val="007E4A6D"/>
    <w:rsid w:val="00817904"/>
    <w:rsid w:val="008364B7"/>
    <w:rsid w:val="0084100C"/>
    <w:rsid w:val="0084312C"/>
    <w:rsid w:val="0084577E"/>
    <w:rsid w:val="00853F8D"/>
    <w:rsid w:val="00857565"/>
    <w:rsid w:val="008602CE"/>
    <w:rsid w:val="008646B6"/>
    <w:rsid w:val="008862F9"/>
    <w:rsid w:val="0089090F"/>
    <w:rsid w:val="008977E6"/>
    <w:rsid w:val="008A0143"/>
    <w:rsid w:val="008A2B03"/>
    <w:rsid w:val="008A3CF8"/>
    <w:rsid w:val="008C73FC"/>
    <w:rsid w:val="008D75E4"/>
    <w:rsid w:val="008D79D6"/>
    <w:rsid w:val="008F37FE"/>
    <w:rsid w:val="00903984"/>
    <w:rsid w:val="009145CD"/>
    <w:rsid w:val="009155D9"/>
    <w:rsid w:val="009203DC"/>
    <w:rsid w:val="00927B39"/>
    <w:rsid w:val="0094178E"/>
    <w:rsid w:val="00944CF6"/>
    <w:rsid w:val="00944D8B"/>
    <w:rsid w:val="009474A2"/>
    <w:rsid w:val="00951070"/>
    <w:rsid w:val="0095441A"/>
    <w:rsid w:val="00967105"/>
    <w:rsid w:val="00975770"/>
    <w:rsid w:val="00975B85"/>
    <w:rsid w:val="00976099"/>
    <w:rsid w:val="00976E61"/>
    <w:rsid w:val="0099003D"/>
    <w:rsid w:val="009A14AE"/>
    <w:rsid w:val="009C003F"/>
    <w:rsid w:val="009C74D2"/>
    <w:rsid w:val="009D4797"/>
    <w:rsid w:val="009E5422"/>
    <w:rsid w:val="00A02835"/>
    <w:rsid w:val="00A0508F"/>
    <w:rsid w:val="00A15992"/>
    <w:rsid w:val="00A32440"/>
    <w:rsid w:val="00A42348"/>
    <w:rsid w:val="00A43871"/>
    <w:rsid w:val="00A46C18"/>
    <w:rsid w:val="00A5173A"/>
    <w:rsid w:val="00A539D4"/>
    <w:rsid w:val="00A81CBD"/>
    <w:rsid w:val="00AA10F8"/>
    <w:rsid w:val="00AB2FB7"/>
    <w:rsid w:val="00AC1E1F"/>
    <w:rsid w:val="00AD2AF3"/>
    <w:rsid w:val="00AE23B0"/>
    <w:rsid w:val="00AE5373"/>
    <w:rsid w:val="00AF7EA3"/>
    <w:rsid w:val="00B153BC"/>
    <w:rsid w:val="00B16077"/>
    <w:rsid w:val="00B56BC6"/>
    <w:rsid w:val="00B62417"/>
    <w:rsid w:val="00B67176"/>
    <w:rsid w:val="00B67BF2"/>
    <w:rsid w:val="00B84979"/>
    <w:rsid w:val="00BB6832"/>
    <w:rsid w:val="00BC55DB"/>
    <w:rsid w:val="00BD2078"/>
    <w:rsid w:val="00BF45FD"/>
    <w:rsid w:val="00C05AAE"/>
    <w:rsid w:val="00C178A8"/>
    <w:rsid w:val="00C274EB"/>
    <w:rsid w:val="00C33419"/>
    <w:rsid w:val="00C433EE"/>
    <w:rsid w:val="00C6576C"/>
    <w:rsid w:val="00C729D5"/>
    <w:rsid w:val="00C875FF"/>
    <w:rsid w:val="00C877F5"/>
    <w:rsid w:val="00C911A7"/>
    <w:rsid w:val="00CA0481"/>
    <w:rsid w:val="00CA07CB"/>
    <w:rsid w:val="00CB1049"/>
    <w:rsid w:val="00CB6D7A"/>
    <w:rsid w:val="00CD0078"/>
    <w:rsid w:val="00CD01E9"/>
    <w:rsid w:val="00CD07CC"/>
    <w:rsid w:val="00CD15D7"/>
    <w:rsid w:val="00CD3124"/>
    <w:rsid w:val="00CE0156"/>
    <w:rsid w:val="00CE67F5"/>
    <w:rsid w:val="00CF4CE2"/>
    <w:rsid w:val="00D11380"/>
    <w:rsid w:val="00D15F65"/>
    <w:rsid w:val="00D40C0F"/>
    <w:rsid w:val="00D558BF"/>
    <w:rsid w:val="00D64AE4"/>
    <w:rsid w:val="00D658CE"/>
    <w:rsid w:val="00D65A21"/>
    <w:rsid w:val="00D729C4"/>
    <w:rsid w:val="00D730D5"/>
    <w:rsid w:val="00D748D9"/>
    <w:rsid w:val="00D85B6F"/>
    <w:rsid w:val="00DA43FA"/>
    <w:rsid w:val="00DA5C0F"/>
    <w:rsid w:val="00DB52CB"/>
    <w:rsid w:val="00DD6F13"/>
    <w:rsid w:val="00DE3ECD"/>
    <w:rsid w:val="00DE69F4"/>
    <w:rsid w:val="00DF339C"/>
    <w:rsid w:val="00E048DF"/>
    <w:rsid w:val="00E13788"/>
    <w:rsid w:val="00E233E3"/>
    <w:rsid w:val="00E26097"/>
    <w:rsid w:val="00E407DC"/>
    <w:rsid w:val="00E4303C"/>
    <w:rsid w:val="00EC4400"/>
    <w:rsid w:val="00EE3308"/>
    <w:rsid w:val="00EF0755"/>
    <w:rsid w:val="00EF6CA9"/>
    <w:rsid w:val="00EF7554"/>
    <w:rsid w:val="00F041AF"/>
    <w:rsid w:val="00F1006B"/>
    <w:rsid w:val="00F12EF4"/>
    <w:rsid w:val="00F26C77"/>
    <w:rsid w:val="00F50030"/>
    <w:rsid w:val="00F606B5"/>
    <w:rsid w:val="00F636D2"/>
    <w:rsid w:val="00F7513C"/>
    <w:rsid w:val="00FA7484"/>
    <w:rsid w:val="00FB5287"/>
    <w:rsid w:val="00FC723A"/>
    <w:rsid w:val="00FC73A4"/>
    <w:rsid w:val="00FD0C8B"/>
    <w:rsid w:val="00FD3C4F"/>
    <w:rsid w:val="00FE5144"/>
    <w:rsid w:val="00FF1C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32"/>
        <o:r id="V:Rule2" type="connector" idref="#_x0000_s1033"/>
      </o:rules>
    </o:shapelayout>
  </w:shapeDefaults>
  <w:decimalSymbol w:val="."/>
  <w:listSeparator w:val=";"/>
  <w15:chartTrackingRefBased/>
  <w15:docId w15:val="{2664A67D-E394-49B6-971D-5CD12BF0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277"/>
    <w:rPr>
      <w:sz w:val="24"/>
      <w:szCs w:val="22"/>
      <w:lang w:eastAsia="en-US"/>
    </w:rPr>
  </w:style>
  <w:style w:type="paragraph" w:styleId="Titre1">
    <w:name w:val="heading 1"/>
    <w:basedOn w:val="Normal"/>
    <w:next w:val="Normal"/>
    <w:link w:val="Titre1Car"/>
    <w:uiPriority w:val="9"/>
    <w:qFormat/>
    <w:rsid w:val="00590FF2"/>
    <w:pPr>
      <w:numPr>
        <w:numId w:val="3"/>
      </w:numPr>
      <w:ind w:left="0" w:firstLine="1134"/>
      <w:outlineLvl w:val="0"/>
    </w:pPr>
    <w:rPr>
      <w:b/>
      <w:sz w:val="28"/>
      <w:u w:val="single"/>
    </w:rPr>
  </w:style>
  <w:style w:type="paragraph" w:styleId="Titre2">
    <w:name w:val="heading 2"/>
    <w:basedOn w:val="Normal"/>
    <w:next w:val="Normal"/>
    <w:link w:val="Titre2Car"/>
    <w:uiPriority w:val="9"/>
    <w:unhideWhenUsed/>
    <w:qFormat/>
    <w:rsid w:val="00590FF2"/>
    <w:pPr>
      <w:numPr>
        <w:numId w:val="4"/>
      </w:numPr>
      <w:ind w:firstLine="414"/>
      <w:outlineLvl w:val="1"/>
    </w:pPr>
    <w:rPr>
      <w:b/>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4250A"/>
    <w:pPr>
      <w:tabs>
        <w:tab w:val="center" w:pos="4536"/>
        <w:tab w:val="right" w:pos="9072"/>
      </w:tabs>
    </w:pPr>
  </w:style>
  <w:style w:type="character" w:customStyle="1" w:styleId="En-tteCar">
    <w:name w:val="En-tête Car"/>
    <w:basedOn w:val="Policepardfaut"/>
    <w:link w:val="En-tte"/>
    <w:uiPriority w:val="99"/>
    <w:semiHidden/>
    <w:rsid w:val="0044250A"/>
  </w:style>
  <w:style w:type="paragraph" w:styleId="Pieddepage">
    <w:name w:val="footer"/>
    <w:basedOn w:val="Normal"/>
    <w:link w:val="PieddepageCar"/>
    <w:uiPriority w:val="99"/>
    <w:unhideWhenUsed/>
    <w:rsid w:val="0044250A"/>
    <w:pPr>
      <w:tabs>
        <w:tab w:val="center" w:pos="4536"/>
        <w:tab w:val="right" w:pos="9072"/>
      </w:tabs>
    </w:pPr>
  </w:style>
  <w:style w:type="character" w:customStyle="1" w:styleId="PieddepageCar">
    <w:name w:val="Pied de page Car"/>
    <w:basedOn w:val="Policepardfaut"/>
    <w:link w:val="Pieddepage"/>
    <w:uiPriority w:val="99"/>
    <w:rsid w:val="0044250A"/>
  </w:style>
  <w:style w:type="paragraph" w:styleId="Textedebulles">
    <w:name w:val="Balloon Text"/>
    <w:basedOn w:val="Normal"/>
    <w:link w:val="TextedebullesCar"/>
    <w:uiPriority w:val="99"/>
    <w:semiHidden/>
    <w:unhideWhenUsed/>
    <w:rsid w:val="0044250A"/>
    <w:rPr>
      <w:rFonts w:ascii="Tahoma" w:hAnsi="Tahoma" w:cs="Tahoma"/>
      <w:sz w:val="16"/>
      <w:szCs w:val="16"/>
    </w:rPr>
  </w:style>
  <w:style w:type="character" w:customStyle="1" w:styleId="TextedebullesCar">
    <w:name w:val="Texte de bulles Car"/>
    <w:link w:val="Textedebulles"/>
    <w:uiPriority w:val="99"/>
    <w:semiHidden/>
    <w:rsid w:val="0044250A"/>
    <w:rPr>
      <w:rFonts w:ascii="Tahoma" w:hAnsi="Tahoma" w:cs="Tahoma"/>
      <w:sz w:val="16"/>
      <w:szCs w:val="16"/>
    </w:rPr>
  </w:style>
  <w:style w:type="character" w:customStyle="1" w:styleId="Titre1Car">
    <w:name w:val="Titre 1 Car"/>
    <w:link w:val="Titre1"/>
    <w:uiPriority w:val="9"/>
    <w:rsid w:val="00590FF2"/>
    <w:rPr>
      <w:b/>
      <w:sz w:val="28"/>
      <w:szCs w:val="22"/>
      <w:u w:val="single"/>
      <w:lang w:eastAsia="en-US"/>
    </w:rPr>
  </w:style>
  <w:style w:type="paragraph" w:styleId="Paragraphedeliste">
    <w:name w:val="List Paragraph"/>
    <w:basedOn w:val="Normal"/>
    <w:uiPriority w:val="34"/>
    <w:qFormat/>
    <w:rsid w:val="00697AEC"/>
    <w:pPr>
      <w:ind w:left="708"/>
    </w:pPr>
  </w:style>
  <w:style w:type="table" w:styleId="Grilledutableau">
    <w:name w:val="Table Grid"/>
    <w:basedOn w:val="TableauNormal"/>
    <w:uiPriority w:val="59"/>
    <w:rsid w:val="00697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EE3308"/>
    <w:rPr>
      <w:color w:val="0000FF"/>
      <w:u w:val="single"/>
    </w:rPr>
  </w:style>
  <w:style w:type="character" w:customStyle="1" w:styleId="Titre2Car">
    <w:name w:val="Titre 2 Car"/>
    <w:link w:val="Titre2"/>
    <w:uiPriority w:val="9"/>
    <w:rsid w:val="00590FF2"/>
    <w:rPr>
      <w:b/>
      <w:sz w:val="2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90150">
      <w:bodyDiv w:val="1"/>
      <w:marLeft w:val="0"/>
      <w:marRight w:val="0"/>
      <w:marTop w:val="0"/>
      <w:marBottom w:val="0"/>
      <w:divBdr>
        <w:top w:val="none" w:sz="0" w:space="0" w:color="auto"/>
        <w:left w:val="none" w:sz="0" w:space="0" w:color="auto"/>
        <w:bottom w:val="none" w:sz="0" w:space="0" w:color="auto"/>
        <w:right w:val="none" w:sz="0" w:space="0" w:color="auto"/>
      </w:divBdr>
    </w:div>
    <w:div w:id="652612222">
      <w:bodyDiv w:val="1"/>
      <w:marLeft w:val="0"/>
      <w:marRight w:val="0"/>
      <w:marTop w:val="0"/>
      <w:marBottom w:val="0"/>
      <w:divBdr>
        <w:top w:val="none" w:sz="0" w:space="0" w:color="auto"/>
        <w:left w:val="none" w:sz="0" w:space="0" w:color="auto"/>
        <w:bottom w:val="none" w:sz="0" w:space="0" w:color="auto"/>
        <w:right w:val="none" w:sz="0" w:space="0" w:color="auto"/>
      </w:divBdr>
    </w:div>
    <w:div w:id="202454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DocSapanet:PRO-AMC-00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DocSapanet:FOR-PREA-01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MES%20DOCUMENTS\Modes%20op&#233;ratoires\PRO-PREA-0063_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PRO-PREA-0063_2</Template>
  <TotalTime>1</TotalTime>
  <Pages>2</Pages>
  <Words>605</Words>
  <Characters>3330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«SN_INFOGENERALES»Erreur</vt:lpstr>
    </vt:vector>
  </TitlesOfParts>
  <Company/>
  <LinksUpToDate>false</LinksUpToDate>
  <CharactersWithSpaces>3928</CharactersWithSpaces>
  <SharedDoc>false</SharedDoc>
  <HLinks>
    <vt:vector size="12" baseType="variant">
      <vt:variant>
        <vt:i4>7209079</vt:i4>
      </vt:variant>
      <vt:variant>
        <vt:i4>3</vt:i4>
      </vt:variant>
      <vt:variant>
        <vt:i4>0</vt:i4>
      </vt:variant>
      <vt:variant>
        <vt:i4>5</vt:i4>
      </vt:variant>
      <vt:variant>
        <vt:lpwstr>docsapanet:PRO-AMC-005</vt:lpwstr>
      </vt:variant>
      <vt:variant>
        <vt:lpwstr/>
      </vt:variant>
      <vt:variant>
        <vt:i4>7012409</vt:i4>
      </vt:variant>
      <vt:variant>
        <vt:i4>0</vt:i4>
      </vt:variant>
      <vt:variant>
        <vt:i4>0</vt:i4>
      </vt:variant>
      <vt:variant>
        <vt:i4>5</vt:i4>
      </vt:variant>
      <vt:variant>
        <vt:lpwstr>docsapanet:FOR-PREA-010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«SN_INFOGENERALES»Erreur</dc:title>
  <dc:subject/>
  <dc:creator>Frederic Queuche</dc:creator>
  <cp:keywords/>
  <cp:lastModifiedBy>Frederic Queuche</cp:lastModifiedBy>
  <cp:revision>1</cp:revision>
  <cp:lastPrinted>2019-01-31T10:15:00Z</cp:lastPrinted>
  <dcterms:created xsi:type="dcterms:W3CDTF">2023-03-15T08:18:00Z</dcterms:created>
  <dcterms:modified xsi:type="dcterms:W3CDTF">2023-03-15T08:19:00Z</dcterms:modified>
</cp:coreProperties>
</file>